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2B" w:rsidRPr="008137B0" w:rsidRDefault="00AD682B" w:rsidP="00AD682B">
      <w:pPr>
        <w:rPr>
          <w:rFonts w:ascii="华文中宋" w:eastAsia="华文中宋" w:hAnsi="华文中宋"/>
          <w:szCs w:val="32"/>
        </w:rPr>
      </w:pPr>
    </w:p>
    <w:p w:rsidR="00AD682B" w:rsidRPr="008137B0" w:rsidRDefault="00AD682B" w:rsidP="00AD682B">
      <w:pPr>
        <w:rPr>
          <w:rFonts w:ascii="华文中宋" w:eastAsia="华文中宋" w:hAnsi="华文中宋"/>
          <w:szCs w:val="32"/>
        </w:rPr>
      </w:pPr>
    </w:p>
    <w:p w:rsidR="00AD682B" w:rsidRPr="008137B0" w:rsidRDefault="00AD682B" w:rsidP="00AD682B">
      <w:pPr>
        <w:rPr>
          <w:rFonts w:ascii="华文中宋" w:eastAsia="华文中宋" w:hAnsi="华文中宋"/>
          <w:szCs w:val="32"/>
        </w:rPr>
      </w:pPr>
      <w:r>
        <w:rPr>
          <w:noProof/>
        </w:rPr>
        <mc:AlternateContent>
          <mc:Choice Requires="wps">
            <w:drawing>
              <wp:anchor distT="0" distB="0" distL="114300" distR="114300" simplePos="0" relativeHeight="251659264" behindDoc="0" locked="0" layoutInCell="1" allowOverlap="1" wp14:anchorId="705D9D59" wp14:editId="526A5844">
                <wp:simplePos x="0" y="0"/>
                <wp:positionH relativeFrom="page">
                  <wp:align>center</wp:align>
                </wp:positionH>
                <wp:positionV relativeFrom="margin">
                  <wp:posOffset>900430</wp:posOffset>
                </wp:positionV>
                <wp:extent cx="5579745" cy="1313815"/>
                <wp:effectExtent l="0" t="0" r="1905" b="63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313815"/>
                        </a:xfrm>
                        <a:prstGeom prst="rect">
                          <a:avLst/>
                        </a:prstGeom>
                        <a:noFill/>
                        <a:ln w="9525">
                          <a:noFill/>
                          <a:miter lim="800000"/>
                          <a:headEnd/>
                          <a:tailEnd/>
                        </a:ln>
                      </wps:spPr>
                      <wps:txbx>
                        <w:txbxContent>
                          <w:p w:rsidR="00AD682B" w:rsidRPr="002D19A5" w:rsidRDefault="00AD682B" w:rsidP="00AD682B">
                            <w:pPr>
                              <w:rPr>
                                <w:rFonts w:ascii="方正小标宋简体" w:eastAsia="方正小标宋简体"/>
                                <w:b/>
                                <w:color w:val="C00000"/>
                                <w:spacing w:val="12"/>
                                <w:w w:val="49"/>
                                <w:sz w:val="130"/>
                                <w:szCs w:val="130"/>
                              </w:rPr>
                            </w:pPr>
                            <w:r w:rsidRPr="002D19A5">
                              <w:rPr>
                                <w:rFonts w:ascii="方正小标宋简体" w:eastAsia="方正小标宋简体" w:hint="eastAsia"/>
                                <w:b/>
                                <w:color w:val="C00000"/>
                                <w:spacing w:val="12"/>
                                <w:w w:val="49"/>
                                <w:sz w:val="130"/>
                                <w:szCs w:val="130"/>
                              </w:rPr>
                              <w:t>江苏太仓港口管理委员会文件</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70.9pt;width:439.35pt;height:103.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" filled="f" stroked="f">
                <v:textbox inset="0,0,0,0">
                  <w:txbxContent>
                    <w:p w:rsidR="00AD682B" w:rsidRPr="002D19A5" w:rsidRDefault="00AD682B" w:rsidP="00AD682B">
                      <w:pPr>
                        <w:rPr>
                          <w:rFonts w:ascii="方正小标宋简体" w:eastAsia="方正小标宋简体"/>
                          <w:b/>
                          <w:color w:val="C00000"/>
                          <w:spacing w:val="12"/>
                          <w:w w:val="49"/>
                          <w:sz w:val="130"/>
                          <w:szCs w:val="130"/>
                        </w:rPr>
                      </w:pPr>
                      <w:r w:rsidRPr="002D19A5">
                        <w:rPr>
                          <w:rFonts w:ascii="方正小标宋简体" w:eastAsia="方正小标宋简体" w:hint="eastAsia"/>
                          <w:b/>
                          <w:color w:val="C00000"/>
                          <w:spacing w:val="12"/>
                          <w:w w:val="49"/>
                          <w:sz w:val="130"/>
                          <w:szCs w:val="130"/>
                        </w:rPr>
                        <w:t>江苏太仓港口管理委员会文件</w:t>
                      </w:r>
                    </w:p>
                  </w:txbxContent>
                </v:textbox>
                <w10:wrap anchorx="page" anchory="margin"/>
              </v:shape>
            </w:pict>
          </mc:Fallback>
        </mc:AlternateContent>
      </w:r>
    </w:p>
    <w:p w:rsidR="00AD682B" w:rsidRPr="008137B0" w:rsidRDefault="00AD682B" w:rsidP="00AD682B">
      <w:pPr>
        <w:jc w:val="center"/>
        <w:rPr>
          <w:rFonts w:ascii="华文中宋" w:eastAsia="华文中宋" w:hAnsi="华文中宋"/>
          <w:szCs w:val="32"/>
        </w:rPr>
      </w:pPr>
    </w:p>
    <w:p w:rsidR="00AD682B" w:rsidRPr="008137B0" w:rsidRDefault="00AD682B" w:rsidP="00AD682B">
      <w:pPr>
        <w:jc w:val="center"/>
        <w:rPr>
          <w:rFonts w:ascii="华文中宋" w:eastAsia="华文中宋" w:hAnsi="华文中宋"/>
          <w:szCs w:val="32"/>
        </w:rPr>
      </w:pPr>
    </w:p>
    <w:p w:rsidR="00AD682B" w:rsidRPr="008137B0" w:rsidRDefault="00AD682B" w:rsidP="00AD682B">
      <w:pPr>
        <w:jc w:val="center"/>
        <w:rPr>
          <w:rFonts w:ascii="华文中宋" w:eastAsia="华文中宋" w:hAnsi="华文中宋"/>
          <w:szCs w:val="32"/>
        </w:rPr>
      </w:pPr>
    </w:p>
    <w:p w:rsidR="00AD682B" w:rsidRPr="008137B0" w:rsidRDefault="00AD682B" w:rsidP="00AD682B">
      <w:pPr>
        <w:jc w:val="center"/>
        <w:rPr>
          <w:szCs w:val="32"/>
        </w:rPr>
      </w:pPr>
      <w:r>
        <w:rPr>
          <w:noProof/>
        </w:rPr>
        <mc:AlternateContent>
          <mc:Choice Requires="wps">
            <w:drawing>
              <wp:anchor distT="4294967290" distB="4294967290" distL="114300" distR="114300" simplePos="0" relativeHeight="251660288" behindDoc="0" locked="0" layoutInCell="1" allowOverlap="1" wp14:anchorId="54C908FC" wp14:editId="3F6A950C">
                <wp:simplePos x="0" y="0"/>
                <wp:positionH relativeFrom="page">
                  <wp:align>center</wp:align>
                </wp:positionH>
                <wp:positionV relativeFrom="margin">
                  <wp:posOffset>2628264</wp:posOffset>
                </wp:positionV>
                <wp:extent cx="5579745" cy="0"/>
                <wp:effectExtent l="0" t="19050" r="1905"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0"/>
                        </a:xfrm>
                        <a:prstGeom prst="line">
                          <a:avLst/>
                        </a:prstGeom>
                        <a:ln w="28575" cmpd="sng">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17e-5mm;mso-wrap-distance-right:9pt;mso-wrap-distance-bottom:-17e-5mm;mso-position-horizontal:center;mso-position-horizontal-relative:page;mso-position-vertical:absolute;mso-position-vertical-relative:margin;mso-width-percent:0;mso-height-percent:0;mso-width-relative:margin;mso-height-relative:page" from="0,206.95pt" to="439.35pt,2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" strokecolor="#c00000" strokeweight="2.25pt">
                <o:lock v:ext="edit" shapetype="f"/>
                <w10:wrap anchorx="page" anchory="margin"/>
              </v:line>
            </w:pict>
          </mc:Fallback>
        </mc:AlternateContent>
      </w:r>
      <w:r w:rsidRPr="008137B0">
        <w:rPr>
          <w:szCs w:val="32"/>
        </w:rPr>
        <w:t>苏太港</w:t>
      </w:r>
      <w:r w:rsidR="00CB1B67">
        <w:rPr>
          <w:rFonts w:hint="eastAsia"/>
          <w:szCs w:val="32"/>
        </w:rPr>
        <w:t>安监</w:t>
      </w:r>
      <w:r w:rsidRPr="008137B0">
        <w:rPr>
          <w:szCs w:val="32"/>
        </w:rPr>
        <w:t>〔</w:t>
      </w:r>
      <w:r w:rsidRPr="00D069FE">
        <w:rPr>
          <w:szCs w:val="32"/>
        </w:rPr>
        <w:t>201</w:t>
      </w:r>
      <w:r w:rsidR="00AB0B4F" w:rsidRPr="00D069FE">
        <w:rPr>
          <w:rFonts w:hint="eastAsia"/>
          <w:szCs w:val="32"/>
        </w:rPr>
        <w:t>8</w:t>
      </w:r>
      <w:r w:rsidRPr="008137B0">
        <w:rPr>
          <w:szCs w:val="32"/>
        </w:rPr>
        <w:t>〕</w:t>
      </w:r>
      <w:r w:rsidR="00FF0671">
        <w:rPr>
          <w:rFonts w:hint="eastAsia"/>
          <w:szCs w:val="32"/>
        </w:rPr>
        <w:t>8</w:t>
      </w:r>
      <w:r w:rsidRPr="008137B0">
        <w:rPr>
          <w:szCs w:val="32"/>
        </w:rPr>
        <w:t>号</w:t>
      </w:r>
    </w:p>
    <w:p w:rsidR="00AD682B" w:rsidRPr="008137B0" w:rsidRDefault="00AD682B" w:rsidP="00AD682B">
      <w:pPr>
        <w:spacing w:line="360" w:lineRule="exact"/>
        <w:jc w:val="center"/>
        <w:rPr>
          <w:rFonts w:ascii="华文中宋" w:eastAsia="华文中宋" w:hAnsi="华文中宋"/>
          <w:szCs w:val="32"/>
        </w:rPr>
      </w:pPr>
    </w:p>
    <w:p w:rsidR="00AD682B" w:rsidRPr="008137B0" w:rsidRDefault="00AD682B" w:rsidP="00AD682B">
      <w:pPr>
        <w:spacing w:line="360" w:lineRule="exact"/>
        <w:jc w:val="center"/>
        <w:rPr>
          <w:rFonts w:ascii="华文中宋" w:eastAsia="华文中宋" w:hAnsi="华文中宋"/>
          <w:szCs w:val="32"/>
        </w:rPr>
      </w:pPr>
    </w:p>
    <w:p w:rsidR="006D3C5F" w:rsidRDefault="00BB7115" w:rsidP="00BB7115">
      <w:pPr>
        <w:spacing w:line="560" w:lineRule="exact"/>
        <w:jc w:val="center"/>
        <w:rPr>
          <w:rFonts w:eastAsia="方正小标宋简体"/>
          <w:sz w:val="44"/>
          <w:szCs w:val="44"/>
        </w:rPr>
      </w:pPr>
      <w:r w:rsidRPr="00BB7115">
        <w:rPr>
          <w:rFonts w:eastAsia="方正小标宋简体" w:hint="eastAsia"/>
          <w:sz w:val="44"/>
          <w:szCs w:val="44"/>
        </w:rPr>
        <w:t>关于印发《太仓港</w:t>
      </w:r>
      <w:r w:rsidRPr="00BB7115">
        <w:rPr>
          <w:rFonts w:eastAsia="方正小标宋简体" w:hint="eastAsia"/>
          <w:sz w:val="44"/>
          <w:szCs w:val="44"/>
        </w:rPr>
        <w:t>2018</w:t>
      </w:r>
      <w:r w:rsidRPr="00BB7115">
        <w:rPr>
          <w:rFonts w:eastAsia="方正小标宋简体" w:hint="eastAsia"/>
          <w:sz w:val="44"/>
          <w:szCs w:val="44"/>
        </w:rPr>
        <w:t>年度安全生产目标</w:t>
      </w:r>
    </w:p>
    <w:p w:rsidR="00DD7E46" w:rsidRDefault="00BB7115" w:rsidP="00BB7115">
      <w:pPr>
        <w:spacing w:line="560" w:lineRule="exact"/>
        <w:jc w:val="center"/>
        <w:rPr>
          <w:rFonts w:ascii="仿宋_GB2312" w:hAnsi="仿宋" w:cs="仿宋"/>
          <w:szCs w:val="32"/>
        </w:rPr>
      </w:pPr>
      <w:r w:rsidRPr="00BB7115">
        <w:rPr>
          <w:rFonts w:eastAsia="方正小标宋简体" w:hint="eastAsia"/>
          <w:sz w:val="44"/>
          <w:szCs w:val="44"/>
        </w:rPr>
        <w:t>管理考核实施细则》的通知</w:t>
      </w:r>
    </w:p>
    <w:p w:rsidR="00D069FE" w:rsidRDefault="00D069FE" w:rsidP="00C22F6C">
      <w:pPr>
        <w:pStyle w:val="ab"/>
        <w:shd w:val="clear" w:color="auto" w:fill="FFFFFF"/>
        <w:spacing w:before="0" w:beforeAutospacing="0" w:after="0" w:afterAutospacing="0"/>
        <w:rPr>
          <w:rFonts w:ascii="仿宋_GB2312" w:eastAsia="仿宋_GB2312" w:hAnsi="Arial" w:cs="Arial"/>
          <w:color w:val="191919"/>
          <w:sz w:val="32"/>
          <w:szCs w:val="32"/>
          <w:bdr w:val="none" w:sz="0" w:space="0" w:color="auto" w:frame="1"/>
        </w:rPr>
      </w:pPr>
    </w:p>
    <w:p w:rsidR="006D3C5F" w:rsidRPr="006D3C5F" w:rsidRDefault="006D3C5F" w:rsidP="006D3C5F">
      <w:pPr>
        <w:spacing w:line="540" w:lineRule="exact"/>
        <w:rPr>
          <w:rFonts w:ascii="仿宋_GB2312" w:hAnsi="华文中宋"/>
          <w:spacing w:val="4"/>
          <w:szCs w:val="32"/>
        </w:rPr>
      </w:pPr>
      <w:r w:rsidRPr="006D3C5F">
        <w:rPr>
          <w:rFonts w:ascii="仿宋_GB2312" w:hAnsi="华文中宋" w:hint="eastAsia"/>
          <w:spacing w:val="4"/>
          <w:szCs w:val="32"/>
        </w:rPr>
        <w:t>各有关单位：</w:t>
      </w:r>
    </w:p>
    <w:p w:rsidR="006D3C5F" w:rsidRPr="006D3C5F" w:rsidRDefault="006D3C5F" w:rsidP="006D3C5F">
      <w:pPr>
        <w:spacing w:line="540" w:lineRule="exact"/>
        <w:ind w:firstLineChars="200" w:firstLine="648"/>
        <w:rPr>
          <w:rFonts w:ascii="仿宋_GB2312"/>
          <w:spacing w:val="4"/>
        </w:rPr>
      </w:pPr>
      <w:r w:rsidRPr="006D3C5F">
        <w:rPr>
          <w:rFonts w:ascii="仿宋_GB2312" w:hint="eastAsia"/>
          <w:spacing w:val="4"/>
        </w:rPr>
        <w:t>为深入贯彻《安全生产法》、《港口法》、《江苏省安全生产条例》等有关法律法规，强化安全工作目标管理，全面落实安全生产主体责任，减少和防止一般事故发生，坚决遏制重特大事故发生，确保完成全年安全工作目标任务，根据上级有关文件要求，结合太仓港实际，特制定《太仓港2018年度安全生产目标管理考核实施细则》。现印发给你们，望认真贯彻落实。</w:t>
      </w:r>
    </w:p>
    <w:p w:rsidR="00C22F6C" w:rsidRDefault="00C22F6C" w:rsidP="00D069FE">
      <w:pPr>
        <w:spacing w:line="560" w:lineRule="exact"/>
        <w:ind w:right="474"/>
        <w:jc w:val="right"/>
        <w:rPr>
          <w:rFonts w:ascii="仿宋_GB2312"/>
          <w:szCs w:val="32"/>
        </w:rPr>
      </w:pPr>
    </w:p>
    <w:p w:rsidR="00DD7E46" w:rsidRPr="00DD7E46" w:rsidRDefault="00DD7E46" w:rsidP="00D069FE">
      <w:pPr>
        <w:spacing w:line="560" w:lineRule="exact"/>
        <w:ind w:right="474"/>
        <w:jc w:val="right"/>
        <w:rPr>
          <w:rFonts w:ascii="仿宋_GB2312"/>
          <w:szCs w:val="32"/>
        </w:rPr>
      </w:pPr>
      <w:r w:rsidRPr="00DD7E46">
        <w:rPr>
          <w:rFonts w:ascii="仿宋_GB2312" w:hint="eastAsia"/>
          <w:szCs w:val="32"/>
        </w:rPr>
        <w:t>江苏太仓港口管理委员会</w:t>
      </w:r>
    </w:p>
    <w:p w:rsidR="00D069FE" w:rsidRPr="00D069FE" w:rsidRDefault="00DD7E46" w:rsidP="00D069FE">
      <w:pPr>
        <w:spacing w:line="560" w:lineRule="exact"/>
        <w:ind w:right="1112"/>
        <w:jc w:val="center"/>
        <w:rPr>
          <w:rFonts w:ascii="仿宋_GB2312" w:cs="仿宋_GB2312"/>
          <w:szCs w:val="32"/>
        </w:rPr>
        <w:sectPr w:rsidR="00D069FE" w:rsidRPr="00D069FE" w:rsidSect="008D00E8">
          <w:footerReference w:type="even" r:id="rId8"/>
          <w:footerReference w:type="default" r:id="rId9"/>
          <w:pgSz w:w="11906" w:h="16838" w:code="9"/>
          <w:pgMar w:top="2098" w:right="1474" w:bottom="1985" w:left="1588" w:header="851" w:footer="992" w:gutter="0"/>
          <w:cols w:space="425"/>
          <w:docGrid w:type="linesAndChars" w:linePitch="579" w:charSpace="-849"/>
        </w:sectPr>
      </w:pPr>
      <w:r w:rsidRPr="00DD7E46">
        <w:rPr>
          <w:rFonts w:cs="仿宋_GB2312" w:hint="eastAsia"/>
          <w:szCs w:val="32"/>
        </w:rPr>
        <w:t xml:space="preserve">                                  </w:t>
      </w:r>
      <w:r w:rsidRPr="00D069FE">
        <w:rPr>
          <w:rFonts w:cs="仿宋_GB2312" w:hint="eastAsia"/>
          <w:szCs w:val="32"/>
        </w:rPr>
        <w:t>2018</w:t>
      </w:r>
      <w:r w:rsidRPr="00DD7E46">
        <w:rPr>
          <w:rFonts w:ascii="仿宋_GB2312" w:hAnsi="仿宋_GB2312" w:cs="仿宋_GB2312" w:hint="eastAsia"/>
          <w:szCs w:val="32"/>
        </w:rPr>
        <w:t>年</w:t>
      </w:r>
      <w:r w:rsidR="00C22F6C" w:rsidRPr="00D069FE">
        <w:rPr>
          <w:rFonts w:cs="仿宋_GB2312" w:hint="eastAsia"/>
          <w:szCs w:val="32"/>
        </w:rPr>
        <w:t>3</w:t>
      </w:r>
      <w:r w:rsidRPr="00DD7E46">
        <w:rPr>
          <w:rFonts w:ascii="仿宋_GB2312" w:hAnsi="仿宋_GB2312" w:cs="仿宋_GB2312" w:hint="eastAsia"/>
          <w:szCs w:val="32"/>
        </w:rPr>
        <w:t>月</w:t>
      </w:r>
      <w:bookmarkStart w:id="0" w:name="_GoBack"/>
      <w:bookmarkEnd w:id="0"/>
      <w:r w:rsidRPr="00D069FE">
        <w:rPr>
          <w:rFonts w:cs="仿宋_GB2312" w:hint="eastAsia"/>
          <w:szCs w:val="32"/>
        </w:rPr>
        <w:t>1</w:t>
      </w:r>
      <w:r w:rsidR="00E10DCB">
        <w:rPr>
          <w:rFonts w:cs="仿宋_GB2312" w:hint="eastAsia"/>
          <w:szCs w:val="32"/>
        </w:rPr>
        <w:t>6</w:t>
      </w:r>
      <w:r w:rsidRPr="00DD7E46">
        <w:rPr>
          <w:rFonts w:ascii="仿宋_GB2312" w:cs="仿宋_GB2312" w:hint="eastAsia"/>
          <w:szCs w:val="32"/>
        </w:rPr>
        <w:t>日</w:t>
      </w:r>
    </w:p>
    <w:p w:rsidR="006D3C5F" w:rsidRPr="006D3C5F" w:rsidRDefault="006D3C5F" w:rsidP="006D3C5F">
      <w:pPr>
        <w:spacing w:line="580" w:lineRule="exact"/>
        <w:jc w:val="center"/>
        <w:rPr>
          <w:rFonts w:ascii="方正小标宋简体" w:eastAsia="方正小标宋简体" w:hAnsi="华文中宋"/>
          <w:sz w:val="36"/>
          <w:szCs w:val="36"/>
        </w:rPr>
      </w:pPr>
      <w:r w:rsidRPr="006D3C5F">
        <w:rPr>
          <w:rFonts w:ascii="方正小标宋简体" w:eastAsia="方正小标宋简体" w:hAnsi="华文中宋" w:hint="eastAsia"/>
          <w:sz w:val="36"/>
          <w:szCs w:val="36"/>
        </w:rPr>
        <w:lastRenderedPageBreak/>
        <w:t>太仓港2018年度安全生产目标管理考核实施细则</w:t>
      </w:r>
    </w:p>
    <w:tbl>
      <w:tblPr>
        <w:tblW w:w="965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46"/>
        <w:gridCol w:w="709"/>
        <w:gridCol w:w="2977"/>
        <w:gridCol w:w="850"/>
        <w:gridCol w:w="2650"/>
        <w:gridCol w:w="556"/>
        <w:gridCol w:w="615"/>
        <w:gridCol w:w="15"/>
      </w:tblGrid>
      <w:tr w:rsidR="006D3C5F" w:rsidRPr="006D3C5F" w:rsidTr="00B11D74">
        <w:trPr>
          <w:gridAfter w:val="1"/>
          <w:wAfter w:w="15" w:type="dxa"/>
          <w:trHeight w:val="480"/>
          <w:jc w:val="center"/>
        </w:trPr>
        <w:tc>
          <w:tcPr>
            <w:tcW w:w="1995" w:type="dxa"/>
            <w:gridSpan w:val="3"/>
            <w:vAlign w:val="center"/>
          </w:tcPr>
          <w:p w:rsidR="006D3C5F" w:rsidRPr="006D3C5F" w:rsidRDefault="006D3C5F" w:rsidP="006D3C5F">
            <w:pPr>
              <w:widowControl/>
              <w:spacing w:line="260" w:lineRule="exact"/>
              <w:jc w:val="center"/>
              <w:rPr>
                <w:rFonts w:ascii="仿宋_GB2312" w:hAnsi="宋体"/>
                <w:b/>
                <w:sz w:val="21"/>
              </w:rPr>
            </w:pPr>
            <w:r w:rsidRPr="006D3C5F">
              <w:rPr>
                <w:rFonts w:ascii="仿宋_GB2312" w:hAnsi="宋体" w:hint="eastAsia"/>
                <w:b/>
                <w:sz w:val="21"/>
              </w:rPr>
              <w:t>有无 “一票否决”事项</w:t>
            </w:r>
          </w:p>
        </w:tc>
        <w:tc>
          <w:tcPr>
            <w:tcW w:w="7648" w:type="dxa"/>
            <w:gridSpan w:val="5"/>
            <w:shd w:val="clear" w:color="auto" w:fill="auto"/>
            <w:vAlign w:val="center"/>
          </w:tcPr>
          <w:p w:rsidR="006D3C5F" w:rsidRPr="006D3C5F" w:rsidRDefault="006D3C5F" w:rsidP="006D3C5F">
            <w:pPr>
              <w:widowControl/>
              <w:spacing w:line="260" w:lineRule="exact"/>
              <w:jc w:val="center"/>
              <w:rPr>
                <w:rFonts w:ascii="仿宋_GB2312" w:hAnsi="宋体"/>
                <w:b/>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90"/>
          <w:jc w:val="center"/>
        </w:trPr>
        <w:tc>
          <w:tcPr>
            <w:tcW w:w="5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b/>
                <w:sz w:val="24"/>
                <w:szCs w:val="20"/>
              </w:rPr>
            </w:pPr>
            <w:r w:rsidRPr="006D3C5F">
              <w:rPr>
                <w:rFonts w:ascii="仿宋_GB2312" w:hAnsi="宋体" w:hint="eastAsia"/>
                <w:b/>
                <w:sz w:val="21"/>
              </w:rPr>
              <w:t>序号</w:t>
            </w:r>
          </w:p>
        </w:tc>
        <w:tc>
          <w:tcPr>
            <w:tcW w:w="74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b/>
                <w:sz w:val="24"/>
                <w:szCs w:val="20"/>
              </w:rPr>
            </w:pPr>
            <w:r w:rsidRPr="006D3C5F">
              <w:rPr>
                <w:rFonts w:ascii="仿宋_GB2312" w:hAnsi="宋体" w:hint="eastAsia"/>
                <w:b/>
                <w:sz w:val="21"/>
              </w:rPr>
              <w:t>项目</w:t>
            </w: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b/>
                <w:sz w:val="21"/>
                <w:szCs w:val="20"/>
              </w:rPr>
            </w:pPr>
            <w:r w:rsidRPr="006D3C5F">
              <w:rPr>
                <w:rFonts w:ascii="仿宋_GB2312" w:hAnsi="宋体" w:hint="eastAsia"/>
                <w:b/>
                <w:sz w:val="21"/>
              </w:rPr>
              <w:t>项目</w:t>
            </w:r>
          </w:p>
          <w:p w:rsidR="006D3C5F" w:rsidRPr="006D3C5F" w:rsidRDefault="006D3C5F" w:rsidP="006D3C5F">
            <w:pPr>
              <w:spacing w:line="260" w:lineRule="exact"/>
              <w:jc w:val="center"/>
              <w:rPr>
                <w:rFonts w:ascii="仿宋_GB2312" w:hAnsi="宋体"/>
                <w:b/>
                <w:sz w:val="24"/>
                <w:szCs w:val="20"/>
              </w:rPr>
            </w:pPr>
            <w:r w:rsidRPr="006D3C5F">
              <w:rPr>
                <w:rFonts w:ascii="仿宋_GB2312" w:hAnsi="宋体" w:hint="eastAsia"/>
                <w:b/>
                <w:sz w:val="21"/>
              </w:rPr>
              <w:t>总分</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b/>
                <w:sz w:val="24"/>
                <w:szCs w:val="20"/>
              </w:rPr>
            </w:pPr>
            <w:r w:rsidRPr="006D3C5F">
              <w:rPr>
                <w:rFonts w:ascii="仿宋_GB2312" w:hAnsi="宋体" w:hint="eastAsia"/>
                <w:b/>
                <w:sz w:val="21"/>
              </w:rPr>
              <w:t>考　核　内　容</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b/>
                <w:sz w:val="24"/>
                <w:szCs w:val="20"/>
              </w:rPr>
            </w:pPr>
            <w:r w:rsidRPr="006D3C5F">
              <w:rPr>
                <w:rFonts w:ascii="仿宋_GB2312" w:hAnsi="宋体" w:hint="eastAsia"/>
                <w:b/>
                <w:sz w:val="21"/>
              </w:rPr>
              <w:t>检查方式</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b/>
                <w:sz w:val="24"/>
                <w:szCs w:val="20"/>
              </w:rPr>
            </w:pPr>
            <w:r w:rsidRPr="006D3C5F">
              <w:rPr>
                <w:rFonts w:ascii="仿宋_GB2312" w:hAnsi="宋体" w:hint="eastAsia"/>
                <w:b/>
                <w:sz w:val="21"/>
              </w:rPr>
              <w:t>考评标准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b/>
                <w:sz w:val="24"/>
                <w:szCs w:val="20"/>
              </w:rPr>
            </w:pPr>
            <w:r w:rsidRPr="006D3C5F">
              <w:rPr>
                <w:rFonts w:ascii="仿宋_GB2312" w:hAnsi="宋体" w:hint="eastAsia"/>
                <w:b/>
                <w:sz w:val="21"/>
              </w:rPr>
              <w:t>自评得分</w:t>
            </w: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b/>
                <w:sz w:val="21"/>
                <w:szCs w:val="20"/>
              </w:rPr>
            </w:pPr>
            <w:r w:rsidRPr="006D3C5F">
              <w:rPr>
                <w:rFonts w:ascii="仿宋_GB2312" w:hAnsi="宋体" w:hint="eastAsia"/>
                <w:b/>
                <w:sz w:val="21"/>
              </w:rPr>
              <w:t>考核</w:t>
            </w:r>
          </w:p>
          <w:p w:rsidR="006D3C5F" w:rsidRPr="006D3C5F" w:rsidRDefault="006D3C5F" w:rsidP="006D3C5F">
            <w:pPr>
              <w:spacing w:line="260" w:lineRule="exact"/>
              <w:jc w:val="center"/>
              <w:rPr>
                <w:rFonts w:ascii="仿宋_GB2312" w:hAnsi="宋体"/>
                <w:b/>
                <w:sz w:val="24"/>
                <w:szCs w:val="20"/>
              </w:rPr>
            </w:pPr>
            <w:r w:rsidRPr="006D3C5F">
              <w:rPr>
                <w:rFonts w:ascii="仿宋_GB2312" w:hAnsi="宋体" w:hint="eastAsia"/>
                <w:b/>
                <w:sz w:val="21"/>
              </w:rPr>
              <w:t>得分</w:t>
            </w: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082"/>
          <w:jc w:val="center"/>
        </w:trPr>
        <w:tc>
          <w:tcPr>
            <w:tcW w:w="540"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4"/>
                <w:szCs w:val="20"/>
              </w:rPr>
            </w:pPr>
            <w:r w:rsidRPr="006D3C5F">
              <w:rPr>
                <w:rFonts w:ascii="仿宋_GB2312" w:hAnsi="宋体" w:hint="eastAsia"/>
                <w:sz w:val="24"/>
                <w:szCs w:val="20"/>
              </w:rPr>
              <w:t>1</w:t>
            </w:r>
          </w:p>
        </w:tc>
        <w:tc>
          <w:tcPr>
            <w:tcW w:w="746" w:type="dxa"/>
            <w:vMerge w:val="restart"/>
            <w:tcBorders>
              <w:top w:val="nil"/>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安全</w:t>
            </w:r>
          </w:p>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责任</w:t>
            </w:r>
          </w:p>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及</w:t>
            </w:r>
          </w:p>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事故</w:t>
            </w:r>
          </w:p>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防控</w:t>
            </w:r>
          </w:p>
          <w:p w:rsidR="006D3C5F" w:rsidRPr="006D3C5F" w:rsidRDefault="006D3C5F" w:rsidP="006D3C5F">
            <w:pPr>
              <w:spacing w:line="260" w:lineRule="exact"/>
              <w:jc w:val="center"/>
              <w:rPr>
                <w:rFonts w:ascii="仿宋_GB2312" w:hAnsi="宋体"/>
                <w:sz w:val="21"/>
                <w:szCs w:val="20"/>
              </w:rPr>
            </w:pPr>
          </w:p>
        </w:tc>
        <w:tc>
          <w:tcPr>
            <w:tcW w:w="709" w:type="dxa"/>
            <w:vMerge w:val="restart"/>
            <w:tcBorders>
              <w:top w:val="nil"/>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t>300分</w:t>
            </w: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层层建立安全生产指标控制和考核体系（包括委外作业单位），全面落实安全生产主体责任，层层签订目标责任书。（20分）</w:t>
            </w:r>
          </w:p>
        </w:tc>
        <w:tc>
          <w:tcPr>
            <w:tcW w:w="85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查台帐及相关资料</w:t>
            </w:r>
          </w:p>
        </w:tc>
        <w:tc>
          <w:tcPr>
            <w:tcW w:w="2650"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未建立本项分值全部扣除，建立不完全或者有缺失，每项扣10分。</w:t>
            </w:r>
          </w:p>
        </w:tc>
        <w:tc>
          <w:tcPr>
            <w:tcW w:w="556" w:type="dxa"/>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40"/>
          <w:jc w:val="center"/>
        </w:trPr>
        <w:tc>
          <w:tcPr>
            <w:tcW w:w="0" w:type="auto"/>
            <w:vMerge/>
            <w:tcBorders>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center"/>
              <w:rPr>
                <w:rFonts w:ascii="仿宋_GB2312" w:hAnsi="宋体"/>
                <w:sz w:val="21"/>
              </w:rPr>
            </w:pP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无安全生产事故，无重大场内交通事故，无重大设备事故，无重大保安事件。（100分）</w:t>
            </w:r>
          </w:p>
        </w:tc>
        <w:tc>
          <w:tcPr>
            <w:tcW w:w="850" w:type="dxa"/>
            <w:tcBorders>
              <w:top w:val="single" w:sz="4" w:space="0" w:color="auto"/>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查事故报表、日常检查、台账资料</w:t>
            </w:r>
          </w:p>
        </w:tc>
        <w:tc>
          <w:tcPr>
            <w:tcW w:w="2650"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发生1起死亡1人以上事故以及重大影响保安事件的，扣100分，发生1起一般人员重伤或者设备损坏造成经济损失2万元以上的扣50分。发生1起人员死亡安全生产责任事故的，实行“一票否决”。</w:t>
            </w:r>
          </w:p>
        </w:tc>
        <w:tc>
          <w:tcPr>
            <w:tcW w:w="556" w:type="dxa"/>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0"/>
          <w:jc w:val="center"/>
        </w:trPr>
        <w:tc>
          <w:tcPr>
            <w:tcW w:w="0" w:type="auto"/>
            <w:vMerge/>
            <w:tcBorders>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center"/>
              <w:rPr>
                <w:rFonts w:ascii="仿宋_GB2312" w:hAnsi="宋体"/>
                <w:sz w:val="21"/>
              </w:rPr>
            </w:pP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未被港口监管部门约谈。（30分）</w:t>
            </w:r>
          </w:p>
        </w:tc>
        <w:tc>
          <w:tcPr>
            <w:tcW w:w="850" w:type="dxa"/>
            <w:tcBorders>
              <w:top w:val="single" w:sz="4" w:space="0" w:color="auto"/>
              <w:left w:val="single" w:sz="4" w:space="0" w:color="auto"/>
              <w:bottom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查记录</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发生人员死亡被约谈1次扣30分，其他被约谈1次扣15分。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30"/>
          <w:jc w:val="center"/>
        </w:trPr>
        <w:tc>
          <w:tcPr>
            <w:tcW w:w="0" w:type="auto"/>
            <w:vMerge/>
            <w:tcBorders>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center"/>
              <w:rPr>
                <w:rFonts w:ascii="仿宋_GB2312" w:hAnsi="宋体"/>
                <w:sz w:val="21"/>
              </w:rPr>
            </w:pPr>
          </w:p>
        </w:tc>
        <w:tc>
          <w:tcPr>
            <w:tcW w:w="2977" w:type="dxa"/>
            <w:tcBorders>
              <w:top w:val="single" w:sz="4" w:space="0" w:color="auto"/>
              <w:left w:val="nil"/>
              <w:bottom w:val="nil"/>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p>
          <w:p w:rsidR="006D3C5F" w:rsidRPr="006D3C5F" w:rsidRDefault="006D3C5F" w:rsidP="006D3C5F">
            <w:pPr>
              <w:spacing w:line="260" w:lineRule="exact"/>
              <w:ind w:firstLineChars="200" w:firstLine="420"/>
              <w:rPr>
                <w:rFonts w:ascii="仿宋_GB2312" w:hAnsi="宋体"/>
                <w:sz w:val="21"/>
              </w:rPr>
            </w:pPr>
          </w:p>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在安全检查中，未发现有安全隐患的，未被监管部门书面开具港口安全隐患整改通知书。（60分）</w:t>
            </w:r>
          </w:p>
        </w:tc>
        <w:tc>
          <w:tcPr>
            <w:tcW w:w="850" w:type="dxa"/>
            <w:vMerge w:val="restart"/>
            <w:tcBorders>
              <w:top w:val="single" w:sz="4" w:space="0" w:color="auto"/>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查台帐</w:t>
            </w:r>
          </w:p>
        </w:tc>
        <w:tc>
          <w:tcPr>
            <w:tcW w:w="2650" w:type="dxa"/>
            <w:vMerge w:val="restart"/>
            <w:tcBorders>
              <w:top w:val="single" w:sz="4" w:space="0" w:color="auto"/>
              <w:left w:val="nil"/>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被开具港口安全隐患整改通知书的，1次扣10分，同一问题连续被书面要求整改的扣20分。检查发现隐患问题1次扣1分，同一隐患问题连续被检查发现的，扣分按照2次×1.2系数，3次×1.3系数累计计算。</w:t>
            </w:r>
          </w:p>
        </w:tc>
        <w:tc>
          <w:tcPr>
            <w:tcW w:w="556" w:type="dxa"/>
            <w:vMerge w:val="restart"/>
            <w:tcBorders>
              <w:top w:val="single" w:sz="4" w:space="0" w:color="auto"/>
              <w:left w:val="nil"/>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vMerge w:val="restart"/>
            <w:tcBorders>
              <w:top w:val="single" w:sz="4" w:space="0" w:color="auto"/>
              <w:left w:val="nil"/>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0"/>
          <w:jc w:val="center"/>
        </w:trPr>
        <w:tc>
          <w:tcPr>
            <w:tcW w:w="0" w:type="auto"/>
            <w:vMerge/>
            <w:tcBorders>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center"/>
              <w:rPr>
                <w:rFonts w:ascii="仿宋_GB2312" w:hAnsi="宋体"/>
                <w:sz w:val="21"/>
              </w:rPr>
            </w:pP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p>
        </w:tc>
        <w:tc>
          <w:tcPr>
            <w:tcW w:w="850" w:type="dxa"/>
            <w:vMerge/>
            <w:tcBorders>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2650" w:type="dxa"/>
            <w:vMerge/>
            <w:tcBorders>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p>
        </w:tc>
        <w:tc>
          <w:tcPr>
            <w:tcW w:w="556" w:type="dxa"/>
            <w:vMerge/>
            <w:tcBorders>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vMerge/>
            <w:tcBorders>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
          <w:jc w:val="center"/>
        </w:trPr>
        <w:tc>
          <w:tcPr>
            <w:tcW w:w="0" w:type="auto"/>
            <w:vMerge/>
            <w:tcBorders>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center"/>
              <w:rPr>
                <w:rFonts w:ascii="仿宋_GB2312" w:hAnsi="宋体"/>
                <w:sz w:val="21"/>
              </w:rPr>
            </w:pP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 xml:space="preserve">    未受到港口监管部门及其他安全管理部门的行政处罚和检查通报。（50分）</w:t>
            </w:r>
          </w:p>
        </w:tc>
        <w:tc>
          <w:tcPr>
            <w:tcW w:w="850" w:type="dxa"/>
            <w:tcBorders>
              <w:top w:val="single" w:sz="4" w:space="0" w:color="auto"/>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查台帐及相关资料</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有行政处罚的1次扣25分，有上级检查被通报重大隐患的一个扣10分、一般隐患一个扣1分。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005"/>
          <w:jc w:val="center"/>
        </w:trPr>
        <w:tc>
          <w:tcPr>
            <w:tcW w:w="0" w:type="auto"/>
            <w:vMerge/>
            <w:tcBorders>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center"/>
              <w:rPr>
                <w:rFonts w:ascii="仿宋_GB2312" w:hAnsi="宋体"/>
                <w:sz w:val="21"/>
              </w:rPr>
            </w:pP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依法报告安全事故；不迟报、不漏报，不谎报、瞒报，对事故情况开展自查（内部调查），配合有关部门开展事故调查。（20分）</w:t>
            </w:r>
          </w:p>
        </w:tc>
        <w:tc>
          <w:tcPr>
            <w:tcW w:w="850" w:type="dxa"/>
            <w:tcBorders>
              <w:top w:val="single" w:sz="4" w:space="0" w:color="auto"/>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查台帐及相关资料</w:t>
            </w:r>
          </w:p>
        </w:tc>
        <w:tc>
          <w:tcPr>
            <w:tcW w:w="2650"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迟报、漏报的查实1次扣10分，谎报、瞒报的查实1次扣15分，未按照“四不放过”原则进行调查处理扣10分。</w:t>
            </w:r>
          </w:p>
        </w:tc>
        <w:tc>
          <w:tcPr>
            <w:tcW w:w="556" w:type="dxa"/>
            <w:vMerge w:val="restart"/>
            <w:tcBorders>
              <w:top w:val="nil"/>
              <w:left w:val="nil"/>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vMerge w:val="restart"/>
            <w:tcBorders>
              <w:top w:val="nil"/>
              <w:left w:val="nil"/>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05"/>
          <w:jc w:val="center"/>
        </w:trPr>
        <w:tc>
          <w:tcPr>
            <w:tcW w:w="0" w:type="auto"/>
            <w:vMerge/>
            <w:tcBorders>
              <w:left w:val="single" w:sz="4" w:space="0" w:color="auto"/>
              <w:bottom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bottom w:val="single" w:sz="4" w:space="0" w:color="000000"/>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bottom w:val="single" w:sz="4" w:space="0" w:color="000000"/>
              <w:right w:val="single" w:sz="4" w:space="0" w:color="auto"/>
            </w:tcBorders>
            <w:vAlign w:val="center"/>
          </w:tcPr>
          <w:p w:rsidR="006D3C5F" w:rsidRPr="006D3C5F" w:rsidRDefault="006D3C5F" w:rsidP="006D3C5F">
            <w:pPr>
              <w:widowControl/>
              <w:spacing w:line="260" w:lineRule="exact"/>
              <w:jc w:val="center"/>
              <w:rPr>
                <w:rFonts w:ascii="仿宋_GB2312" w:hAnsi="宋体"/>
                <w:sz w:val="21"/>
              </w:rPr>
            </w:pP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按要求开展职业病防治工作，组织员工职业健康检查。（20分）</w:t>
            </w:r>
          </w:p>
        </w:tc>
        <w:tc>
          <w:tcPr>
            <w:tcW w:w="850" w:type="dxa"/>
            <w:tcBorders>
              <w:top w:val="single" w:sz="4" w:space="0" w:color="auto"/>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查台帐及相关资</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涉及职业病危害因素的码头每年未进行至少一次职业病危害因素检测的，扣5分，职业病危害严重的码头每三年未进行一次职业病危害现状评价，扣10分，未开展粉尘等重点行业领域职业病危害专项治理的，扣10分，未组织健康检查的，发现1人扣2分。</w:t>
            </w:r>
          </w:p>
        </w:tc>
        <w:tc>
          <w:tcPr>
            <w:tcW w:w="556" w:type="dxa"/>
            <w:vMerge/>
            <w:tcBorders>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vMerge/>
            <w:tcBorders>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60"/>
          <w:jc w:val="center"/>
        </w:trPr>
        <w:tc>
          <w:tcPr>
            <w:tcW w:w="0" w:type="auto"/>
            <w:vMerge w:val="restart"/>
            <w:tcBorders>
              <w:top w:val="single" w:sz="4" w:space="0" w:color="auto"/>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r w:rsidRPr="006D3C5F">
              <w:rPr>
                <w:rFonts w:ascii="仿宋_GB2312" w:hAnsi="宋体" w:hint="eastAsia"/>
                <w:sz w:val="24"/>
              </w:rPr>
              <w:lastRenderedPageBreak/>
              <w:t>2</w:t>
            </w:r>
          </w:p>
        </w:tc>
        <w:tc>
          <w:tcPr>
            <w:tcW w:w="746" w:type="dxa"/>
            <w:vMerge w:val="restart"/>
            <w:tcBorders>
              <w:top w:val="single" w:sz="4" w:space="0" w:color="auto"/>
              <w:left w:val="single" w:sz="4" w:space="0" w:color="auto"/>
              <w:right w:val="single" w:sz="4" w:space="0" w:color="auto"/>
            </w:tcBorders>
            <w:vAlign w:val="center"/>
          </w:tcPr>
          <w:p w:rsidR="006D3C5F" w:rsidRPr="006D3C5F" w:rsidRDefault="006D3C5F" w:rsidP="006D3C5F">
            <w:pPr>
              <w:widowControl/>
              <w:spacing w:line="260" w:lineRule="exact"/>
              <w:jc w:val="center"/>
              <w:rPr>
                <w:rFonts w:ascii="仿宋_GB2312" w:hAnsi="宋体"/>
                <w:sz w:val="21"/>
              </w:rPr>
            </w:pPr>
            <w:r w:rsidRPr="006D3C5F">
              <w:rPr>
                <w:rFonts w:ascii="仿宋_GB2312" w:hAnsi="宋体" w:hint="eastAsia"/>
                <w:sz w:val="21"/>
              </w:rPr>
              <w:t>安全</w:t>
            </w:r>
          </w:p>
          <w:p w:rsidR="006D3C5F" w:rsidRPr="006D3C5F" w:rsidRDefault="006D3C5F" w:rsidP="006D3C5F">
            <w:pPr>
              <w:widowControl/>
              <w:spacing w:line="260" w:lineRule="exact"/>
              <w:jc w:val="center"/>
              <w:rPr>
                <w:rFonts w:ascii="仿宋_GB2312" w:hAnsi="宋体"/>
                <w:sz w:val="21"/>
              </w:rPr>
            </w:pPr>
            <w:r w:rsidRPr="006D3C5F">
              <w:rPr>
                <w:rFonts w:ascii="仿宋_GB2312" w:hAnsi="宋体" w:hint="eastAsia"/>
                <w:sz w:val="21"/>
              </w:rPr>
              <w:t>体系</w:t>
            </w:r>
          </w:p>
          <w:p w:rsidR="006D3C5F" w:rsidRPr="006D3C5F" w:rsidRDefault="006D3C5F" w:rsidP="006D3C5F">
            <w:pPr>
              <w:widowControl/>
              <w:spacing w:line="260" w:lineRule="exact"/>
              <w:jc w:val="center"/>
              <w:rPr>
                <w:rFonts w:ascii="仿宋_GB2312" w:hAnsi="宋体"/>
                <w:sz w:val="21"/>
              </w:rPr>
            </w:pPr>
            <w:r w:rsidRPr="006D3C5F">
              <w:rPr>
                <w:rFonts w:ascii="仿宋_GB2312" w:hAnsi="宋体" w:hint="eastAsia"/>
                <w:sz w:val="21"/>
              </w:rPr>
              <w:t>建设</w:t>
            </w:r>
          </w:p>
          <w:p w:rsidR="006D3C5F" w:rsidRPr="006D3C5F" w:rsidRDefault="006D3C5F" w:rsidP="006D3C5F">
            <w:pPr>
              <w:widowControl/>
              <w:spacing w:line="260" w:lineRule="exact"/>
              <w:jc w:val="center"/>
              <w:rPr>
                <w:rFonts w:ascii="仿宋_GB2312" w:hAnsi="宋体"/>
                <w:sz w:val="21"/>
              </w:rPr>
            </w:pPr>
            <w:r w:rsidRPr="006D3C5F">
              <w:rPr>
                <w:rFonts w:ascii="仿宋_GB2312" w:hAnsi="宋体" w:hint="eastAsia"/>
                <w:sz w:val="21"/>
              </w:rPr>
              <w:t>和</w:t>
            </w:r>
          </w:p>
          <w:p w:rsidR="006D3C5F" w:rsidRPr="006D3C5F" w:rsidRDefault="006D3C5F" w:rsidP="006D3C5F">
            <w:pPr>
              <w:widowControl/>
              <w:spacing w:line="260" w:lineRule="exact"/>
              <w:jc w:val="center"/>
              <w:rPr>
                <w:rFonts w:ascii="仿宋_GB2312" w:hAnsi="宋体"/>
                <w:sz w:val="21"/>
              </w:rPr>
            </w:pPr>
            <w:r w:rsidRPr="006D3C5F">
              <w:rPr>
                <w:rFonts w:ascii="仿宋_GB2312" w:hAnsi="宋体" w:hint="eastAsia"/>
                <w:sz w:val="21"/>
              </w:rPr>
              <w:t>安全</w:t>
            </w:r>
          </w:p>
          <w:p w:rsidR="006D3C5F" w:rsidRPr="006D3C5F" w:rsidRDefault="006D3C5F" w:rsidP="006D3C5F">
            <w:pPr>
              <w:widowControl/>
              <w:spacing w:line="260" w:lineRule="exact"/>
              <w:jc w:val="center"/>
              <w:rPr>
                <w:rFonts w:ascii="仿宋_GB2312" w:hAnsi="宋体"/>
                <w:sz w:val="21"/>
              </w:rPr>
            </w:pPr>
            <w:r w:rsidRPr="006D3C5F">
              <w:rPr>
                <w:rFonts w:ascii="仿宋_GB2312" w:hAnsi="宋体" w:hint="eastAsia"/>
                <w:sz w:val="21"/>
              </w:rPr>
              <w:t>活动</w:t>
            </w:r>
          </w:p>
          <w:p w:rsidR="006D3C5F" w:rsidRPr="006D3C5F" w:rsidRDefault="006D3C5F" w:rsidP="006D3C5F">
            <w:pPr>
              <w:widowControl/>
              <w:spacing w:line="260" w:lineRule="exact"/>
              <w:jc w:val="center"/>
              <w:rPr>
                <w:rFonts w:ascii="仿宋_GB2312" w:hAnsi="宋体"/>
                <w:sz w:val="21"/>
              </w:rPr>
            </w:pPr>
            <w:r w:rsidRPr="006D3C5F">
              <w:rPr>
                <w:rFonts w:ascii="仿宋_GB2312" w:hAnsi="宋体" w:hint="eastAsia"/>
                <w:sz w:val="21"/>
              </w:rPr>
              <w:t>开展</w:t>
            </w:r>
          </w:p>
        </w:tc>
        <w:tc>
          <w:tcPr>
            <w:tcW w:w="709" w:type="dxa"/>
            <w:vMerge w:val="restart"/>
            <w:tcBorders>
              <w:top w:val="single" w:sz="4" w:space="0" w:color="auto"/>
              <w:left w:val="single" w:sz="4" w:space="0" w:color="auto"/>
              <w:right w:val="single" w:sz="4" w:space="0" w:color="auto"/>
            </w:tcBorders>
            <w:vAlign w:val="center"/>
          </w:tcPr>
          <w:p w:rsidR="006D3C5F" w:rsidRPr="006D3C5F" w:rsidRDefault="006D3C5F" w:rsidP="006D3C5F">
            <w:pPr>
              <w:widowControl/>
              <w:spacing w:line="260" w:lineRule="exact"/>
              <w:jc w:val="center"/>
              <w:rPr>
                <w:rFonts w:ascii="仿宋_GB2312" w:hAnsi="宋体"/>
                <w:sz w:val="21"/>
              </w:rPr>
            </w:pPr>
            <w:r w:rsidRPr="006D3C5F">
              <w:rPr>
                <w:rFonts w:ascii="仿宋_GB2312" w:hAnsi="宋体" w:hint="eastAsia"/>
                <w:sz w:val="21"/>
              </w:rPr>
              <w:t>150分</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设立安全管理机构，配备安全管理人员，保障安全生产必要的资金投入。（30分）</w:t>
            </w:r>
          </w:p>
        </w:tc>
        <w:tc>
          <w:tcPr>
            <w:tcW w:w="850" w:type="dxa"/>
            <w:tcBorders>
              <w:top w:val="single" w:sz="4" w:space="0" w:color="auto"/>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查台帐、日常检查</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安全管理机构、安全管理人员缺失扣15分，缺少安全资金投入扣15分。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60"/>
          <w:jc w:val="center"/>
        </w:trPr>
        <w:tc>
          <w:tcPr>
            <w:tcW w:w="0" w:type="auto"/>
            <w:vMerge/>
            <w:tcBorders>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落实安全生产工作例会制度，专题研究安全生产工作，安委会每季度至少召开一次，部门安全例会每月至少召开一次。（20分）</w:t>
            </w:r>
          </w:p>
        </w:tc>
        <w:tc>
          <w:tcPr>
            <w:tcW w:w="850" w:type="dxa"/>
            <w:tcBorders>
              <w:top w:val="single" w:sz="4" w:space="0" w:color="auto"/>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w:t>
            </w:r>
          </w:p>
        </w:tc>
        <w:tc>
          <w:tcPr>
            <w:tcW w:w="2650"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每少1次扣5分，少3次（含3次）以上本项分值全部扣除。</w:t>
            </w:r>
          </w:p>
        </w:tc>
        <w:tc>
          <w:tcPr>
            <w:tcW w:w="556" w:type="dxa"/>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60"/>
          <w:jc w:val="center"/>
        </w:trPr>
        <w:tc>
          <w:tcPr>
            <w:tcW w:w="0" w:type="auto"/>
            <w:vMerge/>
            <w:tcBorders>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按要求参加港口部门组织的各类安全生产工作会议。（25分）</w:t>
            </w:r>
          </w:p>
          <w:p w:rsidR="006D3C5F" w:rsidRPr="006D3C5F" w:rsidRDefault="006D3C5F" w:rsidP="006D3C5F">
            <w:pPr>
              <w:spacing w:line="260" w:lineRule="exact"/>
              <w:ind w:firstLineChars="200" w:firstLine="420"/>
              <w:rPr>
                <w:rFonts w:ascii="仿宋_GB2312" w:hAnsi="宋体"/>
                <w:sz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查会议签到、记录</w:t>
            </w:r>
          </w:p>
        </w:tc>
        <w:tc>
          <w:tcPr>
            <w:tcW w:w="2650"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不参加1次扣10分，迟到早退1次扣3分，参加人员未达到通知要求1次扣5分，请假1次扣3分。</w:t>
            </w:r>
          </w:p>
        </w:tc>
        <w:tc>
          <w:tcPr>
            <w:tcW w:w="556" w:type="dxa"/>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60"/>
          <w:jc w:val="center"/>
        </w:trPr>
        <w:tc>
          <w:tcPr>
            <w:tcW w:w="0" w:type="auto"/>
            <w:vMerge/>
            <w:tcBorders>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center"/>
              <w:rPr>
                <w:rFonts w:ascii="仿宋_GB2312" w:hAnsi="宋体"/>
                <w:sz w:val="21"/>
              </w:rPr>
            </w:pPr>
          </w:p>
        </w:tc>
        <w:tc>
          <w:tcPr>
            <w:tcW w:w="709" w:type="dxa"/>
            <w:vMerge/>
            <w:tcBorders>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1"/>
              </w:rPr>
            </w:pP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按要求开展各项安全生产活动，并及时报送相关方案、统计、总结材料和各类事故统计报表。（25分）</w:t>
            </w:r>
          </w:p>
        </w:tc>
        <w:tc>
          <w:tcPr>
            <w:tcW w:w="850" w:type="dxa"/>
            <w:tcBorders>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查台帐、查记录</w:t>
            </w:r>
          </w:p>
        </w:tc>
        <w:tc>
          <w:tcPr>
            <w:tcW w:w="2650" w:type="dxa"/>
            <w:tcBorders>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不开展每次扣10分，不报送相关活动资料每次扣5分（包括迟报、漏报）。</w:t>
            </w:r>
          </w:p>
        </w:tc>
        <w:tc>
          <w:tcPr>
            <w:tcW w:w="556" w:type="dxa"/>
            <w:tcBorders>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60"/>
          <w:jc w:val="center"/>
        </w:trPr>
        <w:tc>
          <w:tcPr>
            <w:tcW w:w="0" w:type="auto"/>
            <w:vMerge/>
            <w:tcBorders>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建立健全各项活动工作台帐，每个活动建立一个台账，确保活动资料齐全。（25分）</w:t>
            </w:r>
          </w:p>
        </w:tc>
        <w:tc>
          <w:tcPr>
            <w:tcW w:w="850" w:type="dxa"/>
            <w:tcBorders>
              <w:top w:val="single" w:sz="4" w:space="0" w:color="auto"/>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w:t>
            </w:r>
          </w:p>
        </w:tc>
        <w:tc>
          <w:tcPr>
            <w:tcW w:w="2650"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少建1个台帐的扣10分，资料不全的扣5分。</w:t>
            </w:r>
          </w:p>
        </w:tc>
        <w:tc>
          <w:tcPr>
            <w:tcW w:w="556" w:type="dxa"/>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860"/>
          <w:jc w:val="center"/>
        </w:trPr>
        <w:tc>
          <w:tcPr>
            <w:tcW w:w="0" w:type="auto"/>
            <w:vMerge/>
            <w:tcBorders>
              <w:left w:val="single" w:sz="4" w:space="0" w:color="auto"/>
              <w:bottom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4"/>
              </w:rPr>
            </w:pPr>
          </w:p>
        </w:tc>
        <w:tc>
          <w:tcPr>
            <w:tcW w:w="746" w:type="dxa"/>
            <w:vMerge/>
            <w:tcBorders>
              <w:left w:val="single" w:sz="4" w:space="0" w:color="auto"/>
              <w:bottom w:val="single" w:sz="4" w:space="0" w:color="000000"/>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bottom w:val="single" w:sz="4" w:space="0" w:color="000000"/>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全面推进港口安全生产标准化体系运行，并通过复评、复查。（25分）。</w:t>
            </w:r>
          </w:p>
        </w:tc>
        <w:tc>
          <w:tcPr>
            <w:tcW w:w="850" w:type="dxa"/>
            <w:tcBorders>
              <w:top w:val="single" w:sz="4" w:space="0" w:color="auto"/>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w:t>
            </w:r>
          </w:p>
        </w:tc>
        <w:tc>
          <w:tcPr>
            <w:tcW w:w="2650"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未推进、未通过复查复评扣25分，每项缺失扣5分。</w:t>
            </w:r>
          </w:p>
        </w:tc>
        <w:tc>
          <w:tcPr>
            <w:tcW w:w="556" w:type="dxa"/>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224"/>
          <w:jc w:val="center"/>
        </w:trPr>
        <w:tc>
          <w:tcPr>
            <w:tcW w:w="54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4"/>
                <w:szCs w:val="20"/>
              </w:rPr>
            </w:pPr>
            <w:r w:rsidRPr="006D3C5F">
              <w:rPr>
                <w:rFonts w:ascii="仿宋_GB2312" w:hAnsi="宋体" w:hint="eastAsia"/>
                <w:sz w:val="21"/>
              </w:rPr>
              <w:t>3</w:t>
            </w:r>
          </w:p>
        </w:tc>
        <w:tc>
          <w:tcPr>
            <w:tcW w:w="746" w:type="dxa"/>
            <w:vMerge w:val="restart"/>
            <w:tcBorders>
              <w:top w:val="single" w:sz="4" w:space="0" w:color="auto"/>
              <w:left w:val="single" w:sz="4" w:space="0" w:color="auto"/>
              <w:bottom w:val="single" w:sz="4" w:space="0" w:color="000000"/>
              <w:right w:val="single" w:sz="4" w:space="0" w:color="auto"/>
            </w:tcBorders>
            <w:vAlign w:val="center"/>
          </w:tcPr>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安全</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t>保障</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t>能力</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t>建设</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szCs w:val="20"/>
              </w:rPr>
              <w:t>100分</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建立健全各项规章制度和安全操作规程，并严格现场安全管理。（25分）</w:t>
            </w:r>
          </w:p>
        </w:tc>
        <w:tc>
          <w:tcPr>
            <w:tcW w:w="850" w:type="dxa"/>
            <w:tcBorders>
              <w:top w:val="single" w:sz="4" w:space="0" w:color="auto"/>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规章制度未制定每项扣5分，未落实现场安全管理或落实不到位每项扣5分。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65"/>
          <w:jc w:val="center"/>
        </w:trPr>
        <w:tc>
          <w:tcPr>
            <w:tcW w:w="540" w:type="dxa"/>
            <w:vMerge/>
            <w:tcBorders>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746" w:type="dxa"/>
            <w:vMerge/>
            <w:tcBorders>
              <w:top w:val="nil"/>
              <w:left w:val="single" w:sz="4" w:space="0" w:color="auto"/>
              <w:bottom w:val="single" w:sz="4" w:space="0" w:color="000000"/>
              <w:right w:val="single" w:sz="4" w:space="0" w:color="auto"/>
            </w:tcBorders>
            <w:vAlign w:val="center"/>
          </w:tcPr>
          <w:p w:rsidR="006D3C5F" w:rsidRPr="006D3C5F" w:rsidRDefault="006D3C5F" w:rsidP="006D3C5F">
            <w:pPr>
              <w:spacing w:line="260" w:lineRule="exact"/>
              <w:jc w:val="center"/>
              <w:rPr>
                <w:rFonts w:ascii="仿宋_GB2312" w:hAnsi="宋体"/>
                <w:sz w:val="21"/>
              </w:rPr>
            </w:pPr>
          </w:p>
        </w:tc>
        <w:tc>
          <w:tcPr>
            <w:tcW w:w="709" w:type="dxa"/>
            <w:vMerge/>
            <w:tcBorders>
              <w:top w:val="nil"/>
              <w:left w:val="single" w:sz="4" w:space="0" w:color="auto"/>
              <w:bottom w:val="single" w:sz="4" w:space="0" w:color="000000"/>
              <w:right w:val="single" w:sz="4" w:space="0" w:color="auto"/>
            </w:tcBorders>
            <w:vAlign w:val="center"/>
          </w:tcPr>
          <w:p w:rsidR="006D3C5F" w:rsidRPr="006D3C5F" w:rsidRDefault="006D3C5F" w:rsidP="006D3C5F">
            <w:pPr>
              <w:spacing w:line="260" w:lineRule="exact"/>
              <w:jc w:val="center"/>
              <w:rPr>
                <w:rFonts w:ascii="仿宋_GB2312" w:hAnsi="宋体"/>
                <w:sz w:val="21"/>
              </w:rPr>
            </w:pPr>
          </w:p>
        </w:tc>
        <w:tc>
          <w:tcPr>
            <w:tcW w:w="2977" w:type="dxa"/>
            <w:vMerge w:val="restart"/>
            <w:tcBorders>
              <w:top w:val="single" w:sz="4" w:space="0" w:color="auto"/>
              <w:left w:val="nil"/>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督促委外作业单位建立安全管理机构或配备安全生产管理人员，并将委外作业单位纳入公司安全管理范围。（25分）</w:t>
            </w:r>
          </w:p>
        </w:tc>
        <w:tc>
          <w:tcPr>
            <w:tcW w:w="850" w:type="dxa"/>
            <w:vMerge w:val="restart"/>
            <w:tcBorders>
              <w:top w:val="single" w:sz="4" w:space="0" w:color="auto"/>
              <w:left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查台帐、日常检查</w:t>
            </w:r>
          </w:p>
        </w:tc>
        <w:tc>
          <w:tcPr>
            <w:tcW w:w="2650" w:type="dxa"/>
            <w:vMerge w:val="restart"/>
            <w:tcBorders>
              <w:top w:val="single" w:sz="4" w:space="0" w:color="auto"/>
              <w:left w:val="nil"/>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委外作业单位未设机构或者未配备安全管理人员扣10分，未纳入公司管理扣10分，有缺失每项扣5分。</w:t>
            </w:r>
          </w:p>
        </w:tc>
        <w:tc>
          <w:tcPr>
            <w:tcW w:w="556" w:type="dxa"/>
            <w:vMerge w:val="restart"/>
            <w:tcBorders>
              <w:top w:val="single" w:sz="4" w:space="0" w:color="auto"/>
              <w:left w:val="nil"/>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70"/>
          <w:jc w:val="center"/>
        </w:trPr>
        <w:tc>
          <w:tcPr>
            <w:tcW w:w="540" w:type="dxa"/>
            <w:vMerge/>
            <w:tcBorders>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p>
        </w:tc>
        <w:tc>
          <w:tcPr>
            <w:tcW w:w="746" w:type="dxa"/>
            <w:vMerge/>
            <w:tcBorders>
              <w:top w:val="nil"/>
              <w:left w:val="single" w:sz="4" w:space="0" w:color="auto"/>
              <w:bottom w:val="single" w:sz="4" w:space="0" w:color="000000"/>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top w:val="nil"/>
              <w:left w:val="single" w:sz="4" w:space="0" w:color="auto"/>
              <w:bottom w:val="single" w:sz="4" w:space="0" w:color="000000"/>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2977" w:type="dxa"/>
            <w:vMerge/>
            <w:tcBorders>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p>
        </w:tc>
        <w:tc>
          <w:tcPr>
            <w:tcW w:w="850" w:type="dxa"/>
            <w:vMerge/>
            <w:tcBorders>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2650" w:type="dxa"/>
            <w:vMerge/>
            <w:tcBorders>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p>
        </w:tc>
        <w:tc>
          <w:tcPr>
            <w:tcW w:w="556" w:type="dxa"/>
            <w:vMerge/>
            <w:tcBorders>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29"/>
          <w:jc w:val="center"/>
        </w:trPr>
        <w:tc>
          <w:tcPr>
            <w:tcW w:w="54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p>
        </w:tc>
        <w:tc>
          <w:tcPr>
            <w:tcW w:w="746" w:type="dxa"/>
            <w:vMerge/>
            <w:tcBorders>
              <w:top w:val="nil"/>
              <w:left w:val="single" w:sz="4" w:space="0" w:color="auto"/>
              <w:bottom w:val="single" w:sz="4" w:space="0" w:color="000000"/>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top w:val="nil"/>
              <w:left w:val="single" w:sz="4" w:space="0" w:color="auto"/>
              <w:bottom w:val="single" w:sz="4" w:space="0" w:color="000000"/>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定期对港口作业相关设备设施进行检查、维护和检测，按照相关标准配备和发放劳保用品。（50分）</w:t>
            </w:r>
          </w:p>
        </w:tc>
        <w:tc>
          <w:tcPr>
            <w:tcW w:w="850" w:type="dxa"/>
            <w:tcBorders>
              <w:top w:val="nil"/>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查台帐、日常检查</w:t>
            </w:r>
          </w:p>
        </w:tc>
        <w:tc>
          <w:tcPr>
            <w:tcW w:w="2650"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每缺少1项扣10分。</w:t>
            </w:r>
          </w:p>
        </w:tc>
        <w:tc>
          <w:tcPr>
            <w:tcW w:w="556" w:type="dxa"/>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29"/>
          <w:jc w:val="center"/>
        </w:trPr>
        <w:tc>
          <w:tcPr>
            <w:tcW w:w="540" w:type="dxa"/>
            <w:vMerge w:val="restart"/>
            <w:tcBorders>
              <w:top w:val="nil"/>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szCs w:val="20"/>
              </w:rPr>
              <w:t>4</w:t>
            </w:r>
          </w:p>
        </w:tc>
        <w:tc>
          <w:tcPr>
            <w:tcW w:w="746" w:type="dxa"/>
            <w:vMerge w:val="restart"/>
            <w:tcBorders>
              <w:top w:val="nil"/>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t>安</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t>全　　　　　　　教</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t>育</w:t>
            </w:r>
          </w:p>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培</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t>训</w:t>
            </w:r>
          </w:p>
        </w:tc>
        <w:tc>
          <w:tcPr>
            <w:tcW w:w="709" w:type="dxa"/>
            <w:vMerge w:val="restart"/>
            <w:tcBorders>
              <w:top w:val="nil"/>
              <w:left w:val="single" w:sz="4" w:space="0" w:color="auto"/>
              <w:right w:val="single" w:sz="4" w:space="0" w:color="auto"/>
            </w:tcBorders>
            <w:vAlign w:val="center"/>
          </w:tcPr>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t>100分</w:t>
            </w: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认真宣传《安全生产法》等法律法规和上级关于安全生产的方针、政策。（20分）</w:t>
            </w:r>
          </w:p>
        </w:tc>
        <w:tc>
          <w:tcPr>
            <w:tcW w:w="850" w:type="dxa"/>
            <w:tcBorders>
              <w:top w:val="nil"/>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查有关资料</w:t>
            </w:r>
          </w:p>
        </w:tc>
        <w:tc>
          <w:tcPr>
            <w:tcW w:w="2650"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未开展宣传教育的扣10分，开展不到位的扣5分。</w:t>
            </w:r>
          </w:p>
        </w:tc>
        <w:tc>
          <w:tcPr>
            <w:tcW w:w="556" w:type="dxa"/>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29"/>
          <w:jc w:val="center"/>
        </w:trPr>
        <w:tc>
          <w:tcPr>
            <w:tcW w:w="540" w:type="dxa"/>
            <w:vMerge/>
            <w:tcBorders>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p>
        </w:tc>
        <w:tc>
          <w:tcPr>
            <w:tcW w:w="746"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认真落实开展安全三级培训教育，包含对委外作业单位的培训教育。（30分）</w:t>
            </w:r>
          </w:p>
        </w:tc>
        <w:tc>
          <w:tcPr>
            <w:tcW w:w="850" w:type="dxa"/>
            <w:tcBorders>
              <w:top w:val="nil"/>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查资料</w:t>
            </w:r>
          </w:p>
        </w:tc>
        <w:tc>
          <w:tcPr>
            <w:tcW w:w="2650"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发现1人次未经培训或者培训不到位扣5分。</w:t>
            </w:r>
          </w:p>
        </w:tc>
        <w:tc>
          <w:tcPr>
            <w:tcW w:w="556" w:type="dxa"/>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29"/>
          <w:jc w:val="center"/>
        </w:trPr>
        <w:tc>
          <w:tcPr>
            <w:tcW w:w="54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p>
        </w:tc>
        <w:tc>
          <w:tcPr>
            <w:tcW w:w="746" w:type="dxa"/>
            <w:vMerge/>
            <w:tcBorders>
              <w:left w:val="single" w:sz="4" w:space="0" w:color="auto"/>
              <w:bottom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709" w:type="dxa"/>
            <w:vMerge/>
            <w:tcBorders>
              <w:left w:val="single" w:sz="4" w:space="0" w:color="auto"/>
              <w:bottom w:val="single" w:sz="4" w:space="0" w:color="auto"/>
              <w:right w:val="single" w:sz="4" w:space="0" w:color="auto"/>
            </w:tcBorders>
            <w:vAlign w:val="center"/>
          </w:tcPr>
          <w:p w:rsidR="006D3C5F" w:rsidRPr="006D3C5F" w:rsidRDefault="006D3C5F" w:rsidP="006D3C5F">
            <w:pPr>
              <w:widowControl/>
              <w:spacing w:line="260" w:lineRule="exact"/>
              <w:jc w:val="left"/>
              <w:rPr>
                <w:rFonts w:ascii="仿宋_GB2312" w:hAnsi="宋体"/>
                <w:sz w:val="21"/>
              </w:rPr>
            </w:pPr>
          </w:p>
        </w:tc>
        <w:tc>
          <w:tcPr>
            <w:tcW w:w="2977"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落实企业主要负责人、安全管理人员、特种设备作业人员培训，取得相关资格证书，并按照要求进行复训（危险货物作业企业相关人员进行危货作业相关培训）。（50分）</w:t>
            </w:r>
          </w:p>
        </w:tc>
        <w:tc>
          <w:tcPr>
            <w:tcW w:w="850" w:type="dxa"/>
            <w:tcBorders>
              <w:top w:val="nil"/>
              <w:left w:val="single" w:sz="4" w:space="0" w:color="auto"/>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查资料</w:t>
            </w:r>
          </w:p>
        </w:tc>
        <w:tc>
          <w:tcPr>
            <w:tcW w:w="2650" w:type="dxa"/>
            <w:tcBorders>
              <w:top w:val="nil"/>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发现1人次未持证上岗扣20分，发现1人次未经培训或者证书过期未复训扣10分。</w:t>
            </w:r>
          </w:p>
        </w:tc>
        <w:tc>
          <w:tcPr>
            <w:tcW w:w="556" w:type="dxa"/>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nil"/>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89"/>
          <w:jc w:val="center"/>
        </w:trPr>
        <w:tc>
          <w:tcPr>
            <w:tcW w:w="54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lastRenderedPageBreak/>
              <w:t>5</w:t>
            </w:r>
          </w:p>
        </w:tc>
        <w:tc>
          <w:tcPr>
            <w:tcW w:w="74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综合</w:t>
            </w:r>
          </w:p>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治理</w:t>
            </w:r>
          </w:p>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及</w:t>
            </w:r>
          </w:p>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应急</w:t>
            </w:r>
          </w:p>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管理</w:t>
            </w:r>
          </w:p>
        </w:tc>
        <w:tc>
          <w:tcPr>
            <w:tcW w:w="709"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t>250分</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构建安全风险分级管控和隐患排查治理双重预防机制，定期组织开展事故隐患全面排查治理，每年不少于4次，并建立隐患档案。强化日常监督检查，自觉整改完善检查中发现的隐患问题和薄弱环节，每天至少1次。（100分）</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查资料</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未健全安全风险防控体系扣30分，隐患排查每少1次扣20分，未建立档案扣10分，未整改扣10分，日常检查每少一次扣5分。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89"/>
          <w:jc w:val="center"/>
        </w:trPr>
        <w:tc>
          <w:tcPr>
            <w:tcW w:w="540" w:type="dxa"/>
            <w:vMerge/>
            <w:tcBorders>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746" w:type="dxa"/>
            <w:vMerge/>
            <w:tcBorders>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709" w:type="dxa"/>
            <w:vMerge/>
            <w:tcBorders>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按照港口管理部门要求，参加全港范围隐患排查治理或专项安全检查活动，对活动情况进行总结，并及时整改发现的隐患和问题。（50分）</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查资料</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未制定方案扣10分，未进行总结扣10分，未及时对隐患问题进行整改或者提出整改计划每处扣10分。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89"/>
          <w:jc w:val="center"/>
        </w:trPr>
        <w:tc>
          <w:tcPr>
            <w:tcW w:w="540" w:type="dxa"/>
            <w:vMerge/>
            <w:tcBorders>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746" w:type="dxa"/>
            <w:vMerge/>
            <w:tcBorders>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709" w:type="dxa"/>
            <w:vMerge/>
            <w:tcBorders>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制定、完善本单位事故应急预案（包括总预案和各项分预案）并报港口部门备案。（30分）</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查资料</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未制定扣30分，预案不完善或者不更新扣15分，不备案扣10分。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45"/>
          <w:jc w:val="center"/>
        </w:trPr>
        <w:tc>
          <w:tcPr>
            <w:tcW w:w="540" w:type="dxa"/>
            <w:vMerge/>
            <w:tcBorders>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746" w:type="dxa"/>
            <w:vMerge/>
            <w:tcBorders>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709" w:type="dxa"/>
            <w:vMerge/>
            <w:tcBorders>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建立安全生产应急组织和工作机制，加强应急救援队伍和能力建设，配备应急救援人员和必要的应急救援器材，每半年至少组织1次应急救援培训或者演练。（40分）</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查资料</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未配备应急人员扣10分，未配备必要的应急器材扣10分，少1次培训或者演练扣10分。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5"/>
          <w:jc w:val="center"/>
        </w:trPr>
        <w:tc>
          <w:tcPr>
            <w:tcW w:w="54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74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709"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值班人员值班期间应急通讯系统正常使用。（30分）</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查记录</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应急通讯手机关机1次扣5分，值班人员不到位1次扣5分。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915"/>
          <w:jc w:val="center"/>
        </w:trPr>
        <w:tc>
          <w:tcPr>
            <w:tcW w:w="54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rPr>
              <w:t>6</w:t>
            </w:r>
          </w:p>
        </w:tc>
        <w:tc>
          <w:tcPr>
            <w:tcW w:w="74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szCs w:val="20"/>
              </w:rPr>
              <w:t>安全</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szCs w:val="20"/>
              </w:rPr>
              <w:t>公示</w:t>
            </w:r>
          </w:p>
        </w:tc>
        <w:tc>
          <w:tcPr>
            <w:tcW w:w="709"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szCs w:val="20"/>
              </w:rPr>
            </w:pPr>
            <w:r w:rsidRPr="006D3C5F">
              <w:rPr>
                <w:rFonts w:ascii="仿宋_GB2312" w:hAnsi="宋体" w:hint="eastAsia"/>
                <w:sz w:val="21"/>
                <w:szCs w:val="20"/>
              </w:rPr>
              <w:t xml:space="preserve">  50分</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在企业明显位置标示主要负责人安全承诺和事故数字牌，突出现场可视化管理。（25分）</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left"/>
              <w:rPr>
                <w:rFonts w:ascii="仿宋_GB2312" w:hAnsi="宋体"/>
                <w:sz w:val="21"/>
              </w:rPr>
            </w:pPr>
            <w:r w:rsidRPr="006D3C5F">
              <w:rPr>
                <w:rFonts w:ascii="仿宋_GB2312" w:hAnsi="宋体" w:hint="eastAsia"/>
                <w:sz w:val="21"/>
              </w:rPr>
              <w:t>查现场</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没有标示扣10分，没有建立现场可视化管理，扣15分。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95"/>
          <w:jc w:val="center"/>
        </w:trPr>
        <w:tc>
          <w:tcPr>
            <w:tcW w:w="54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74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p>
        </w:tc>
        <w:tc>
          <w:tcPr>
            <w:tcW w:w="709"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szCs w:val="20"/>
              </w:rPr>
            </w:pP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安全管理系统有专人负责，内容上传及时，并符合要求。（25分）</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left"/>
              <w:rPr>
                <w:rFonts w:ascii="仿宋_GB2312" w:hAnsi="宋体"/>
                <w:sz w:val="21"/>
              </w:rPr>
            </w:pPr>
            <w:r w:rsidRPr="006D3C5F">
              <w:rPr>
                <w:rFonts w:ascii="仿宋_GB2312" w:hAnsi="宋体" w:hint="eastAsia"/>
                <w:sz w:val="21"/>
              </w:rPr>
              <w:t>查记录</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无专人负责扣10分，上传不及时1次扣5分，内容不符合要求1次扣5分。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50"/>
          <w:jc w:val="center"/>
        </w:trPr>
        <w:tc>
          <w:tcPr>
            <w:tcW w:w="540" w:type="dxa"/>
            <w:vMerge w:val="restart"/>
            <w:tcBorders>
              <w:top w:val="single" w:sz="4" w:space="0" w:color="auto"/>
              <w:left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r w:rsidRPr="006D3C5F">
              <w:rPr>
                <w:rFonts w:ascii="仿宋_GB2312" w:hAnsi="宋体" w:hint="eastAsia"/>
                <w:sz w:val="21"/>
              </w:rPr>
              <w:t>7</w:t>
            </w:r>
          </w:p>
        </w:tc>
        <w:tc>
          <w:tcPr>
            <w:tcW w:w="746"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szCs w:val="20"/>
              </w:rPr>
              <w:t>港口</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szCs w:val="20"/>
              </w:rPr>
              <w:t>危货</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szCs w:val="20"/>
              </w:rPr>
              <w:t>作业</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szCs w:val="20"/>
              </w:rPr>
              <w:t>及</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szCs w:val="20"/>
              </w:rPr>
              <w:t>设施</w:t>
            </w:r>
          </w:p>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szCs w:val="20"/>
              </w:rPr>
              <w:t>保安</w:t>
            </w:r>
          </w:p>
        </w:tc>
        <w:tc>
          <w:tcPr>
            <w:tcW w:w="709"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r w:rsidRPr="006D3C5F">
              <w:rPr>
                <w:rFonts w:ascii="仿宋_GB2312" w:hAnsi="宋体" w:hint="eastAsia"/>
                <w:sz w:val="21"/>
                <w:szCs w:val="20"/>
              </w:rPr>
              <w:t>50分</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规范港口危货作业行为，加强作业管理，按照要求进行作业申报，反馈作业情况。（30分）</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查资料</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谎报、瞒报的查实1次扣30分，申报作业不及时每次扣5分，未及时反馈作业情况每次扣5分。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B1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25"/>
          <w:jc w:val="center"/>
        </w:trPr>
        <w:tc>
          <w:tcPr>
            <w:tcW w:w="540"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rPr>
            </w:pPr>
          </w:p>
        </w:tc>
        <w:tc>
          <w:tcPr>
            <w:tcW w:w="746"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p>
        </w:tc>
        <w:tc>
          <w:tcPr>
            <w:tcW w:w="709"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hAnsi="宋体"/>
                <w:sz w:val="21"/>
                <w:szCs w:val="20"/>
              </w:rPr>
            </w:pP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0"/>
              <w:rPr>
                <w:rFonts w:ascii="仿宋_GB2312" w:hAnsi="宋体"/>
                <w:sz w:val="21"/>
              </w:rPr>
            </w:pPr>
            <w:r w:rsidRPr="006D3C5F">
              <w:rPr>
                <w:rFonts w:ascii="仿宋_GB2312" w:hAnsi="宋体" w:hint="eastAsia"/>
                <w:sz w:val="21"/>
              </w:rPr>
              <w:t>落实保安人员培训及训练，通过保安证书年度审验，足额收取港口设施保安费，并合理使用，做好台帐记录。（20分）</w:t>
            </w:r>
          </w:p>
        </w:tc>
        <w:tc>
          <w:tcPr>
            <w:tcW w:w="8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查资料</w:t>
            </w:r>
          </w:p>
        </w:tc>
        <w:tc>
          <w:tcPr>
            <w:tcW w:w="26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rPr>
                <w:rFonts w:ascii="仿宋_GB2312" w:hAnsi="宋体"/>
                <w:sz w:val="21"/>
              </w:rPr>
            </w:pPr>
            <w:r w:rsidRPr="006D3C5F">
              <w:rPr>
                <w:rFonts w:ascii="仿宋_GB2312" w:hAnsi="宋体" w:hint="eastAsia"/>
                <w:sz w:val="21"/>
              </w:rPr>
              <w:t>未落实培训及训练，每少1次扣5分，，保安工作台帐不完善每项扣5分。</w:t>
            </w:r>
          </w:p>
        </w:tc>
        <w:tc>
          <w:tcPr>
            <w:tcW w:w="556" w:type="dxa"/>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c>
          <w:tcPr>
            <w:tcW w:w="630" w:type="dxa"/>
            <w:gridSpan w:val="2"/>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仿宋_GB2312" w:hAnsi="宋体"/>
                <w:sz w:val="21"/>
              </w:rPr>
            </w:pPr>
          </w:p>
        </w:tc>
      </w:tr>
      <w:tr w:rsidR="006D3C5F" w:rsidRPr="006D3C5F" w:rsidTr="006D3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5"/>
          <w:jc w:val="center"/>
        </w:trPr>
        <w:tc>
          <w:tcPr>
            <w:tcW w:w="1995"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b/>
                <w:sz w:val="22"/>
                <w:szCs w:val="22"/>
              </w:rPr>
            </w:pPr>
            <w:r w:rsidRPr="006D3C5F">
              <w:rPr>
                <w:rFonts w:ascii="仿宋_GB2312" w:hint="eastAsia"/>
                <w:b/>
                <w:sz w:val="22"/>
                <w:szCs w:val="22"/>
              </w:rPr>
              <w:t>考试平均分</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2"/>
              <w:rPr>
                <w:rFonts w:ascii="仿宋_GB2312" w:hAnsi="宋体"/>
                <w:b/>
                <w:sz w:val="21"/>
                <w:szCs w:val="20"/>
              </w:rPr>
            </w:pPr>
          </w:p>
        </w:tc>
        <w:tc>
          <w:tcPr>
            <w:tcW w:w="35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b/>
                <w:sz w:val="22"/>
                <w:szCs w:val="22"/>
              </w:rPr>
            </w:pPr>
            <w:r w:rsidRPr="006D3C5F">
              <w:rPr>
                <w:rFonts w:ascii="仿宋_GB2312" w:hint="eastAsia"/>
                <w:b/>
                <w:sz w:val="22"/>
                <w:szCs w:val="22"/>
              </w:rPr>
              <w:t>考核总分</w:t>
            </w:r>
          </w:p>
        </w:tc>
        <w:tc>
          <w:tcPr>
            <w:tcW w:w="1186" w:type="dxa"/>
            <w:gridSpan w:val="3"/>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宋体" w:eastAsia="宋体" w:hAnsi="宋体"/>
                <w:sz w:val="21"/>
                <w:szCs w:val="20"/>
              </w:rPr>
            </w:pPr>
          </w:p>
        </w:tc>
      </w:tr>
      <w:tr w:rsidR="006D3C5F" w:rsidRPr="006D3C5F" w:rsidTr="006D3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533"/>
          <w:jc w:val="center"/>
        </w:trPr>
        <w:tc>
          <w:tcPr>
            <w:tcW w:w="1995"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D3C5F" w:rsidRPr="006D3C5F" w:rsidRDefault="006D3C5F" w:rsidP="006D3C5F">
            <w:pPr>
              <w:spacing w:line="260" w:lineRule="exact"/>
              <w:jc w:val="center"/>
              <w:rPr>
                <w:rFonts w:ascii="仿宋_GB2312"/>
                <w:b/>
                <w:sz w:val="22"/>
                <w:szCs w:val="22"/>
              </w:rPr>
            </w:pPr>
            <w:r w:rsidRPr="006D3C5F">
              <w:rPr>
                <w:rFonts w:ascii="仿宋_GB2312" w:hint="eastAsia"/>
                <w:b/>
                <w:sz w:val="22"/>
                <w:szCs w:val="22"/>
              </w:rPr>
              <w:t>管委会考核人签字</w:t>
            </w:r>
          </w:p>
        </w:tc>
        <w:tc>
          <w:tcPr>
            <w:tcW w:w="29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200" w:firstLine="422"/>
              <w:rPr>
                <w:rFonts w:ascii="仿宋_GB2312" w:hAnsi="宋体"/>
                <w:b/>
                <w:sz w:val="21"/>
                <w:szCs w:val="20"/>
              </w:rPr>
            </w:pPr>
          </w:p>
        </w:tc>
        <w:tc>
          <w:tcPr>
            <w:tcW w:w="350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6D3C5F" w:rsidRPr="006D3C5F" w:rsidRDefault="006D3C5F" w:rsidP="006D3C5F">
            <w:pPr>
              <w:spacing w:line="260" w:lineRule="exact"/>
              <w:ind w:firstLineChars="300" w:firstLine="663"/>
              <w:rPr>
                <w:rFonts w:ascii="仿宋_GB2312"/>
                <w:b/>
                <w:sz w:val="22"/>
                <w:szCs w:val="22"/>
              </w:rPr>
            </w:pPr>
            <w:r w:rsidRPr="006D3C5F">
              <w:rPr>
                <w:rFonts w:ascii="仿宋_GB2312" w:hint="eastAsia"/>
                <w:b/>
                <w:sz w:val="22"/>
                <w:szCs w:val="22"/>
              </w:rPr>
              <w:t>被考核单位负责人签字</w:t>
            </w:r>
          </w:p>
        </w:tc>
        <w:tc>
          <w:tcPr>
            <w:tcW w:w="1186" w:type="dxa"/>
            <w:gridSpan w:val="3"/>
            <w:tcBorders>
              <w:top w:val="single" w:sz="4" w:space="0" w:color="auto"/>
              <w:left w:val="nil"/>
              <w:bottom w:val="single" w:sz="4" w:space="0" w:color="auto"/>
              <w:right w:val="single" w:sz="4" w:space="0" w:color="auto"/>
            </w:tcBorders>
            <w:vAlign w:val="center"/>
          </w:tcPr>
          <w:p w:rsidR="006D3C5F" w:rsidRPr="006D3C5F" w:rsidRDefault="006D3C5F" w:rsidP="006D3C5F">
            <w:pPr>
              <w:spacing w:line="260" w:lineRule="exact"/>
              <w:rPr>
                <w:rFonts w:ascii="宋体" w:eastAsia="宋体" w:hAnsi="宋体"/>
                <w:sz w:val="21"/>
                <w:szCs w:val="20"/>
              </w:rPr>
            </w:pPr>
          </w:p>
        </w:tc>
      </w:tr>
    </w:tbl>
    <w:p w:rsidR="006D3C5F" w:rsidRPr="006D3C5F" w:rsidRDefault="006D3C5F" w:rsidP="006D3C5F">
      <w:pPr>
        <w:spacing w:line="300" w:lineRule="exact"/>
        <w:jc w:val="left"/>
        <w:rPr>
          <w:rFonts w:ascii="仿宋_GB2312" w:hAnsi="宋体"/>
          <w:snapToGrid w:val="0"/>
          <w:kern w:val="0"/>
          <w:sz w:val="24"/>
        </w:rPr>
      </w:pPr>
      <w:r w:rsidRPr="006D3C5F">
        <w:rPr>
          <w:rFonts w:ascii="仿宋_GB2312" w:hAnsi="宋体" w:hint="eastAsia"/>
          <w:snapToGrid w:val="0"/>
          <w:kern w:val="0"/>
          <w:sz w:val="24"/>
        </w:rPr>
        <w:t>备注：以上打分按实际情况进行扣分，每单项扣分不封顶，直至扣完该大项总分为止。相关人员考试平均分与考核分合并计算，得出考核总分。</w:t>
      </w:r>
    </w:p>
    <w:p w:rsidR="00C22F6C" w:rsidRDefault="00C22F6C" w:rsidP="006D3C5F">
      <w:pPr>
        <w:widowControl/>
        <w:shd w:val="clear" w:color="auto" w:fill="FFFFFF"/>
        <w:spacing w:line="80" w:lineRule="exact"/>
        <w:ind w:firstLineChars="200" w:firstLine="640"/>
        <w:jc w:val="left"/>
        <w:rPr>
          <w:rFonts w:ascii="仿宋_GB2312" w:hAnsi="Arial" w:cs="Arial"/>
          <w:color w:val="191919"/>
          <w:kern w:val="0"/>
          <w:szCs w:val="32"/>
          <w:bdr w:val="none" w:sz="0" w:space="0" w:color="auto" w:frame="1"/>
        </w:rPr>
      </w:pPr>
    </w:p>
    <w:p w:rsidR="00C22F6C" w:rsidRDefault="00C22F6C" w:rsidP="006D3C5F">
      <w:pPr>
        <w:widowControl/>
        <w:shd w:val="clear" w:color="auto" w:fill="FFFFFF"/>
        <w:spacing w:line="40" w:lineRule="exact"/>
        <w:ind w:firstLineChars="200" w:firstLine="640"/>
        <w:jc w:val="left"/>
        <w:rPr>
          <w:rFonts w:ascii="仿宋_GB2312" w:hAnsi="Arial" w:cs="Arial"/>
          <w:color w:val="191919"/>
          <w:kern w:val="0"/>
          <w:szCs w:val="32"/>
          <w:bdr w:val="none" w:sz="0" w:space="0" w:color="auto" w:frame="1"/>
        </w:rPr>
      </w:pPr>
    </w:p>
    <w:p w:rsidR="006D3C5F" w:rsidRDefault="006D3C5F" w:rsidP="006D3C5F">
      <w:pPr>
        <w:widowControl/>
        <w:shd w:val="clear" w:color="auto" w:fill="FFFFFF"/>
        <w:spacing w:line="40" w:lineRule="exact"/>
        <w:ind w:firstLineChars="200" w:firstLine="640"/>
        <w:jc w:val="left"/>
        <w:rPr>
          <w:rFonts w:ascii="仿宋_GB2312" w:hAnsi="Arial" w:cs="Arial"/>
          <w:color w:val="191919"/>
          <w:kern w:val="0"/>
          <w:szCs w:val="32"/>
          <w:bdr w:val="none" w:sz="0" w:space="0" w:color="auto" w:frame="1"/>
        </w:rPr>
      </w:pPr>
    </w:p>
    <w:p w:rsidR="006D3C5F" w:rsidRDefault="006D3C5F" w:rsidP="006D3C5F">
      <w:pPr>
        <w:widowControl/>
        <w:shd w:val="clear" w:color="auto" w:fill="FFFFFF"/>
        <w:spacing w:line="40" w:lineRule="exact"/>
        <w:ind w:firstLineChars="200" w:firstLine="640"/>
        <w:jc w:val="left"/>
        <w:rPr>
          <w:rFonts w:ascii="仿宋_GB2312" w:hAnsi="Arial" w:cs="Arial"/>
          <w:color w:val="191919"/>
          <w:kern w:val="0"/>
          <w:szCs w:val="32"/>
          <w:bdr w:val="none" w:sz="0" w:space="0" w:color="auto" w:frame="1"/>
        </w:rPr>
      </w:pPr>
    </w:p>
    <w:p w:rsidR="006D3C5F" w:rsidRDefault="006D3C5F" w:rsidP="006D3C5F">
      <w:pPr>
        <w:widowControl/>
        <w:shd w:val="clear" w:color="auto" w:fill="FFFFFF"/>
        <w:spacing w:line="40" w:lineRule="exact"/>
        <w:ind w:firstLineChars="200" w:firstLine="640"/>
        <w:jc w:val="left"/>
        <w:rPr>
          <w:rFonts w:ascii="仿宋_GB2312" w:hAnsi="Arial" w:cs="Arial"/>
          <w:color w:val="191919"/>
          <w:kern w:val="0"/>
          <w:szCs w:val="32"/>
          <w:bdr w:val="none" w:sz="0" w:space="0" w:color="auto" w:frame="1"/>
        </w:rPr>
      </w:pPr>
    </w:p>
    <w:p w:rsidR="006D3C5F" w:rsidRDefault="006D3C5F" w:rsidP="006D3C5F">
      <w:pPr>
        <w:widowControl/>
        <w:shd w:val="clear" w:color="auto" w:fill="FFFFFF"/>
        <w:spacing w:line="40" w:lineRule="exact"/>
        <w:ind w:firstLineChars="200" w:firstLine="640"/>
        <w:jc w:val="left"/>
        <w:rPr>
          <w:rFonts w:ascii="仿宋_GB2312" w:hAnsi="Arial" w:cs="Arial"/>
          <w:color w:val="191919"/>
          <w:kern w:val="0"/>
          <w:szCs w:val="32"/>
          <w:bdr w:val="none" w:sz="0" w:space="0" w:color="auto" w:frame="1"/>
        </w:rPr>
      </w:pPr>
    </w:p>
    <w:p w:rsidR="006D3C5F" w:rsidRDefault="006D3C5F" w:rsidP="006D3C5F">
      <w:pPr>
        <w:widowControl/>
        <w:shd w:val="clear" w:color="auto" w:fill="FFFFFF"/>
        <w:spacing w:line="40" w:lineRule="exact"/>
        <w:ind w:firstLineChars="200" w:firstLine="640"/>
        <w:jc w:val="left"/>
        <w:rPr>
          <w:rFonts w:ascii="仿宋_GB2312" w:hAnsi="Arial" w:cs="Arial"/>
          <w:color w:val="191919"/>
          <w:kern w:val="0"/>
          <w:szCs w:val="32"/>
          <w:bdr w:val="none" w:sz="0" w:space="0" w:color="auto" w:frame="1"/>
        </w:rPr>
      </w:pPr>
    </w:p>
    <w:p w:rsidR="006D3C5F" w:rsidRDefault="006D3C5F" w:rsidP="006D3C5F">
      <w:pPr>
        <w:widowControl/>
        <w:shd w:val="clear" w:color="auto" w:fill="FFFFFF"/>
        <w:spacing w:line="40" w:lineRule="exact"/>
        <w:ind w:firstLineChars="200" w:firstLine="640"/>
        <w:jc w:val="left"/>
        <w:rPr>
          <w:rFonts w:ascii="仿宋_GB2312" w:hAnsi="Arial" w:cs="Arial"/>
          <w:color w:val="191919"/>
          <w:kern w:val="0"/>
          <w:szCs w:val="32"/>
          <w:bdr w:val="none" w:sz="0" w:space="0" w:color="auto" w:frame="1"/>
        </w:rPr>
      </w:pPr>
    </w:p>
    <w:p w:rsidR="006D3C5F" w:rsidRDefault="006D3C5F" w:rsidP="006D3C5F">
      <w:pPr>
        <w:widowControl/>
        <w:shd w:val="clear" w:color="auto" w:fill="FFFFFF"/>
        <w:spacing w:line="40" w:lineRule="exact"/>
        <w:ind w:firstLineChars="200" w:firstLine="640"/>
        <w:jc w:val="left"/>
        <w:rPr>
          <w:rFonts w:ascii="仿宋_GB2312" w:hAnsi="Arial" w:cs="Arial"/>
          <w:color w:val="191919"/>
          <w:kern w:val="0"/>
          <w:szCs w:val="32"/>
          <w:bdr w:val="none" w:sz="0" w:space="0" w:color="auto" w:frame="1"/>
        </w:rPr>
      </w:pPr>
    </w:p>
    <w:p w:rsidR="006D3C5F" w:rsidRDefault="006D3C5F" w:rsidP="006D3C5F">
      <w:pPr>
        <w:widowControl/>
        <w:shd w:val="clear" w:color="auto" w:fill="FFFFFF"/>
        <w:spacing w:line="40" w:lineRule="exact"/>
        <w:ind w:firstLineChars="200" w:firstLine="640"/>
        <w:jc w:val="left"/>
        <w:rPr>
          <w:rFonts w:ascii="仿宋_GB2312" w:hAnsi="Arial" w:cs="Arial"/>
          <w:color w:val="191919"/>
          <w:kern w:val="0"/>
          <w:szCs w:val="32"/>
          <w:bdr w:val="none" w:sz="0" w:space="0" w:color="auto" w:frame="1"/>
        </w:rPr>
      </w:pPr>
    </w:p>
    <w:tbl>
      <w:tblPr>
        <w:tblW w:w="0" w:type="auto"/>
        <w:jc w:val="center"/>
        <w:tblInd w:w="-106"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8700"/>
      </w:tblGrid>
      <w:tr w:rsidR="00AB0B4F" w:rsidRPr="00A67CDD" w:rsidTr="007C34EC">
        <w:trPr>
          <w:cantSplit/>
          <w:trHeight w:val="415"/>
          <w:jc w:val="center"/>
        </w:trPr>
        <w:tc>
          <w:tcPr>
            <w:tcW w:w="8700" w:type="dxa"/>
          </w:tcPr>
          <w:p w:rsidR="00AB0B4F" w:rsidRPr="00142A68" w:rsidRDefault="00AB0B4F" w:rsidP="00E10DCB">
            <w:pPr>
              <w:pStyle w:val="a3"/>
              <w:overflowPunct w:val="0"/>
              <w:snapToGrid w:val="0"/>
              <w:spacing w:line="400" w:lineRule="exact"/>
              <w:ind w:firstLineChars="50" w:firstLine="140"/>
              <w:rPr>
                <w:rFonts w:ascii="仿宋_GB2312" w:cs="仿宋_GB2312"/>
                <w:b w:val="0"/>
                <w:bCs w:val="0"/>
                <w:sz w:val="28"/>
                <w:szCs w:val="28"/>
              </w:rPr>
            </w:pPr>
            <w:r w:rsidRPr="00142A68">
              <w:rPr>
                <w:rFonts w:ascii="仿宋_GB2312" w:cs="仿宋_GB2312" w:hint="eastAsia"/>
                <w:b w:val="0"/>
                <w:bCs w:val="0"/>
                <w:sz w:val="28"/>
                <w:szCs w:val="28"/>
              </w:rPr>
              <w:t>江苏太仓港口管理委员会办公室</w:t>
            </w:r>
            <w:r w:rsidR="006D3C5F">
              <w:rPr>
                <w:rFonts w:ascii="仿宋_GB2312" w:cs="仿宋_GB2312" w:hint="eastAsia"/>
                <w:b w:val="0"/>
                <w:bCs w:val="0"/>
                <w:sz w:val="28"/>
                <w:szCs w:val="28"/>
              </w:rPr>
              <w:t xml:space="preserve">            </w:t>
            </w:r>
            <w:r>
              <w:rPr>
                <w:rFonts w:ascii="仿宋_GB2312" w:cs="仿宋_GB2312" w:hint="eastAsia"/>
                <w:b w:val="0"/>
                <w:bCs w:val="0"/>
                <w:sz w:val="28"/>
                <w:szCs w:val="28"/>
              </w:rPr>
              <w:t xml:space="preserve">  </w:t>
            </w:r>
            <w:r w:rsidRPr="00D069FE">
              <w:rPr>
                <w:rFonts w:ascii="Times New Roman" w:cs="Times New Roman"/>
                <w:b w:val="0"/>
                <w:bCs w:val="0"/>
                <w:sz w:val="28"/>
                <w:szCs w:val="28"/>
              </w:rPr>
              <w:t>201</w:t>
            </w:r>
            <w:r w:rsidRPr="00D069FE">
              <w:rPr>
                <w:rFonts w:ascii="Times New Roman" w:cs="Times New Roman" w:hint="eastAsia"/>
                <w:b w:val="0"/>
                <w:bCs w:val="0"/>
                <w:sz w:val="28"/>
                <w:szCs w:val="28"/>
              </w:rPr>
              <w:t>8</w:t>
            </w:r>
            <w:r w:rsidRPr="00B36CFC">
              <w:rPr>
                <w:rFonts w:ascii="Times New Roman" w:cs="Times New Roman"/>
                <w:b w:val="0"/>
                <w:bCs w:val="0"/>
                <w:sz w:val="28"/>
                <w:szCs w:val="28"/>
              </w:rPr>
              <w:t>年</w:t>
            </w:r>
            <w:r w:rsidR="00C22F6C" w:rsidRPr="00D069FE">
              <w:rPr>
                <w:rFonts w:ascii="Times New Roman" w:cs="Times New Roman" w:hint="eastAsia"/>
                <w:b w:val="0"/>
                <w:bCs w:val="0"/>
                <w:sz w:val="28"/>
                <w:szCs w:val="28"/>
              </w:rPr>
              <w:t>3</w:t>
            </w:r>
            <w:r w:rsidRPr="00B36CFC">
              <w:rPr>
                <w:rFonts w:ascii="Times New Roman" w:cs="Times New Roman"/>
                <w:b w:val="0"/>
                <w:bCs w:val="0"/>
                <w:sz w:val="28"/>
                <w:szCs w:val="28"/>
              </w:rPr>
              <w:t>月</w:t>
            </w:r>
            <w:r w:rsidR="00697546" w:rsidRPr="00D069FE">
              <w:rPr>
                <w:rFonts w:ascii="Times New Roman" w:cs="Times New Roman" w:hint="eastAsia"/>
                <w:b w:val="0"/>
                <w:bCs w:val="0"/>
                <w:sz w:val="28"/>
                <w:szCs w:val="28"/>
              </w:rPr>
              <w:t>1</w:t>
            </w:r>
            <w:r w:rsidR="00E10DCB">
              <w:rPr>
                <w:rFonts w:ascii="Times New Roman" w:cs="Times New Roman" w:hint="eastAsia"/>
                <w:b w:val="0"/>
                <w:bCs w:val="0"/>
                <w:sz w:val="28"/>
                <w:szCs w:val="28"/>
              </w:rPr>
              <w:t>6</w:t>
            </w:r>
            <w:r w:rsidRPr="00142A68">
              <w:rPr>
                <w:rFonts w:ascii="仿宋_GB2312" w:cs="仿宋_GB2312"/>
                <w:b w:val="0"/>
                <w:bCs w:val="0"/>
                <w:sz w:val="28"/>
                <w:szCs w:val="28"/>
              </w:rPr>
              <w:t>日印发</w:t>
            </w:r>
          </w:p>
        </w:tc>
      </w:tr>
    </w:tbl>
    <w:p w:rsidR="00AD682B" w:rsidRPr="00142A68" w:rsidRDefault="00AD682B" w:rsidP="00AD682B">
      <w:pPr>
        <w:spacing w:line="20" w:lineRule="exact"/>
      </w:pPr>
    </w:p>
    <w:sectPr w:rsidR="00AD682B" w:rsidRPr="00142A68" w:rsidSect="006D3C5F">
      <w:pgSz w:w="11906" w:h="16838" w:code="9"/>
      <w:pgMar w:top="1701" w:right="1474" w:bottom="1701" w:left="1588" w:header="851" w:footer="992" w:gutter="0"/>
      <w:cols w:space="425"/>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A3" w:rsidRDefault="007F7DA3" w:rsidP="00AD682B">
      <w:r>
        <w:separator/>
      </w:r>
    </w:p>
  </w:endnote>
  <w:endnote w:type="continuationSeparator" w:id="0">
    <w:p w:rsidR="007F7DA3" w:rsidRDefault="007F7DA3" w:rsidP="00AD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48" w:rsidRDefault="00C96448" w:rsidP="00D069FE">
    <w:pPr>
      <w:pStyle w:val="a4"/>
      <w:framePr w:wrap="around" w:vAnchor="text" w:hAnchor="page" w:x="1381" w:y="1"/>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sidR="00E10DCB">
      <w:rPr>
        <w:rStyle w:val="a5"/>
        <w:noProof/>
        <w:sz w:val="28"/>
      </w:rPr>
      <w:t>4</w:t>
    </w:r>
    <w:r>
      <w:rPr>
        <w:rStyle w:val="a5"/>
        <w:sz w:val="28"/>
      </w:rPr>
      <w:fldChar w:fldCharType="end"/>
    </w:r>
    <w:r>
      <w:rPr>
        <w:rStyle w:val="a5"/>
        <w:rFonts w:hint="eastAsia"/>
      </w:rPr>
      <w:t xml:space="preserve"> </w:t>
    </w:r>
    <w:r>
      <w:rPr>
        <w:rStyle w:val="a5"/>
        <w:rFonts w:hint="eastAsia"/>
        <w:sz w:val="28"/>
      </w:rPr>
      <w:t>—</w:t>
    </w:r>
  </w:p>
  <w:p w:rsidR="00C96448" w:rsidRDefault="00C964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E8" w:rsidRDefault="008D00E8" w:rsidP="00D069FE">
    <w:pPr>
      <w:pStyle w:val="a4"/>
      <w:framePr w:wrap="around" w:vAnchor="text" w:hAnchor="page" w:x="13186" w:y="72"/>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sidR="00E10DCB">
      <w:rPr>
        <w:rStyle w:val="a5"/>
        <w:noProof/>
        <w:sz w:val="28"/>
      </w:rPr>
      <w:t>1</w:t>
    </w:r>
    <w:r>
      <w:rPr>
        <w:rStyle w:val="a5"/>
        <w:sz w:val="28"/>
      </w:rPr>
      <w:fldChar w:fldCharType="end"/>
    </w:r>
    <w:r>
      <w:rPr>
        <w:rStyle w:val="a5"/>
        <w:rFonts w:hint="eastAsia"/>
      </w:rPr>
      <w:t xml:space="preserve"> </w:t>
    </w:r>
    <w:r>
      <w:rPr>
        <w:rStyle w:val="a5"/>
        <w:rFonts w:hint="eastAsia"/>
        <w:sz w:val="28"/>
      </w:rPr>
      <w:t>—</w:t>
    </w:r>
  </w:p>
  <w:p w:rsidR="008D00E8" w:rsidRDefault="008D00E8" w:rsidP="00D069FE">
    <w:pPr>
      <w:pStyle w:val="a4"/>
      <w:framePr w:wrap="around" w:vAnchor="text" w:hAnchor="page" w:x="8596" w:y="1"/>
      <w:ind w:leftChars="200" w:left="640" w:rightChars="200" w:right="640"/>
      <w:jc w:val="right"/>
      <w:rPr>
        <w:rStyle w:val="a5"/>
        <w:sz w:val="28"/>
      </w:rPr>
    </w:pPr>
    <w:r>
      <w:rPr>
        <w:rStyle w:val="a5"/>
        <w:rFonts w:hint="eastAsia"/>
        <w:sz w:val="28"/>
      </w:rPr>
      <w:t>—</w:t>
    </w:r>
    <w:r>
      <w:rPr>
        <w:rStyle w:val="a5"/>
        <w:rFonts w:hint="eastAsia"/>
      </w:rPr>
      <w:t xml:space="preserve"> </w:t>
    </w:r>
    <w:r>
      <w:rPr>
        <w:rStyle w:val="a5"/>
        <w:sz w:val="28"/>
      </w:rPr>
      <w:fldChar w:fldCharType="begin"/>
    </w:r>
    <w:r>
      <w:rPr>
        <w:rStyle w:val="a5"/>
        <w:sz w:val="28"/>
      </w:rPr>
      <w:instrText xml:space="preserve">PAGE  </w:instrText>
    </w:r>
    <w:r>
      <w:rPr>
        <w:rStyle w:val="a5"/>
        <w:sz w:val="28"/>
      </w:rPr>
      <w:fldChar w:fldCharType="separate"/>
    </w:r>
    <w:r w:rsidR="00E10DCB">
      <w:rPr>
        <w:rStyle w:val="a5"/>
        <w:noProof/>
        <w:sz w:val="28"/>
      </w:rPr>
      <w:t>1</w:t>
    </w:r>
    <w:r>
      <w:rPr>
        <w:rStyle w:val="a5"/>
        <w:sz w:val="28"/>
      </w:rPr>
      <w:fldChar w:fldCharType="end"/>
    </w:r>
    <w:r>
      <w:rPr>
        <w:rStyle w:val="a5"/>
        <w:rFonts w:hint="eastAsia"/>
      </w:rPr>
      <w:t xml:space="preserve"> </w:t>
    </w:r>
    <w:r>
      <w:rPr>
        <w:rStyle w:val="a5"/>
        <w:rFonts w:hint="eastAsia"/>
        <w:sz w:val="28"/>
      </w:rPr>
      <w:t>—</w:t>
    </w:r>
  </w:p>
  <w:p w:rsidR="008D00E8" w:rsidRDefault="008D00E8" w:rsidP="008D00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A3" w:rsidRDefault="007F7DA3" w:rsidP="00AD682B">
      <w:r>
        <w:separator/>
      </w:r>
    </w:p>
  </w:footnote>
  <w:footnote w:type="continuationSeparator" w:id="0">
    <w:p w:rsidR="007F7DA3" w:rsidRDefault="007F7DA3" w:rsidP="00AD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E66AD"/>
    <w:multiLevelType w:val="singleLevel"/>
    <w:tmpl w:val="5A2E66AD"/>
    <w:lvl w:ilvl="0">
      <w:start w:val="1"/>
      <w:numFmt w:val="chineseCounting"/>
      <w:suff w:val="nothing"/>
      <w:lvlText w:val="%1、"/>
      <w:lvlJc w:val="left"/>
    </w:lvl>
  </w:abstractNum>
  <w:abstractNum w:abstractNumId="1">
    <w:nsid w:val="5A62B0A6"/>
    <w:multiLevelType w:val="singleLevel"/>
    <w:tmpl w:val="5A62B0A6"/>
    <w:lvl w:ilvl="0">
      <w:start w:val="5"/>
      <w:numFmt w:val="chineseCounting"/>
      <w:suff w:val="nothing"/>
      <w:lvlText w:val="（%1）"/>
      <w:lvlJc w:val="left"/>
    </w:lvl>
  </w:abstractNum>
  <w:abstractNum w:abstractNumId="2">
    <w:nsid w:val="5A62B281"/>
    <w:multiLevelType w:val="singleLevel"/>
    <w:tmpl w:val="5A62B281"/>
    <w:lvl w:ilvl="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B"/>
    <w:rsid w:val="00007E99"/>
    <w:rsid w:val="000772C4"/>
    <w:rsid w:val="002A75B9"/>
    <w:rsid w:val="002C11F3"/>
    <w:rsid w:val="002E0C44"/>
    <w:rsid w:val="003732AC"/>
    <w:rsid w:val="003C453F"/>
    <w:rsid w:val="003E3A84"/>
    <w:rsid w:val="003F1F91"/>
    <w:rsid w:val="004D3BF4"/>
    <w:rsid w:val="005858C6"/>
    <w:rsid w:val="005E6738"/>
    <w:rsid w:val="0062353E"/>
    <w:rsid w:val="0062527A"/>
    <w:rsid w:val="00671B1E"/>
    <w:rsid w:val="00697546"/>
    <w:rsid w:val="006D3C5F"/>
    <w:rsid w:val="007D1936"/>
    <w:rsid w:val="007F7DA3"/>
    <w:rsid w:val="008A48F8"/>
    <w:rsid w:val="008D00E8"/>
    <w:rsid w:val="008F56D7"/>
    <w:rsid w:val="00995166"/>
    <w:rsid w:val="00A51C78"/>
    <w:rsid w:val="00AB0B4F"/>
    <w:rsid w:val="00AD682B"/>
    <w:rsid w:val="00B0281C"/>
    <w:rsid w:val="00B9401A"/>
    <w:rsid w:val="00BB7115"/>
    <w:rsid w:val="00C22F6C"/>
    <w:rsid w:val="00C2796E"/>
    <w:rsid w:val="00C45E42"/>
    <w:rsid w:val="00C96448"/>
    <w:rsid w:val="00CB1B67"/>
    <w:rsid w:val="00D069FE"/>
    <w:rsid w:val="00D25CE9"/>
    <w:rsid w:val="00D8675E"/>
    <w:rsid w:val="00DD7E46"/>
    <w:rsid w:val="00DE01F0"/>
    <w:rsid w:val="00E10DCB"/>
    <w:rsid w:val="00EE5597"/>
    <w:rsid w:val="00F64F1B"/>
    <w:rsid w:val="00F66ED3"/>
    <w:rsid w:val="00FF06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2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AD682B"/>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AD682B"/>
    <w:pPr>
      <w:tabs>
        <w:tab w:val="center" w:pos="4153"/>
        <w:tab w:val="right" w:pos="8306"/>
      </w:tabs>
      <w:snapToGrid w:val="0"/>
      <w:jc w:val="left"/>
    </w:pPr>
    <w:rPr>
      <w:sz w:val="18"/>
      <w:szCs w:val="18"/>
    </w:rPr>
  </w:style>
  <w:style w:type="character" w:customStyle="1" w:styleId="Char">
    <w:name w:val="页脚 Char"/>
    <w:basedOn w:val="a0"/>
    <w:link w:val="a4"/>
    <w:rsid w:val="00AD682B"/>
    <w:rPr>
      <w:rFonts w:ascii="Times New Roman" w:eastAsia="仿宋_GB2312" w:hAnsi="Times New Roman" w:cs="Times New Roman"/>
      <w:sz w:val="18"/>
      <w:szCs w:val="18"/>
    </w:rPr>
  </w:style>
  <w:style w:type="character" w:styleId="a5">
    <w:name w:val="page number"/>
    <w:basedOn w:val="a0"/>
    <w:rsid w:val="00AD682B"/>
  </w:style>
  <w:style w:type="paragraph" w:styleId="a6">
    <w:name w:val="header"/>
    <w:basedOn w:val="a"/>
    <w:link w:val="Char0"/>
    <w:uiPriority w:val="99"/>
    <w:unhideWhenUsed/>
    <w:rsid w:val="00AD68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D682B"/>
    <w:rPr>
      <w:rFonts w:ascii="Times New Roman" w:eastAsia="仿宋_GB2312" w:hAnsi="Times New Roman" w:cs="Times New Roman"/>
      <w:sz w:val="18"/>
      <w:szCs w:val="18"/>
    </w:rPr>
  </w:style>
  <w:style w:type="paragraph" w:styleId="a7">
    <w:name w:val="Date"/>
    <w:basedOn w:val="a"/>
    <w:next w:val="a"/>
    <w:link w:val="Char1"/>
    <w:uiPriority w:val="99"/>
    <w:semiHidden/>
    <w:unhideWhenUsed/>
    <w:rsid w:val="003C453F"/>
    <w:pPr>
      <w:ind w:leftChars="2500" w:left="100"/>
    </w:pPr>
  </w:style>
  <w:style w:type="character" w:customStyle="1" w:styleId="Char1">
    <w:name w:val="日期 Char"/>
    <w:basedOn w:val="a0"/>
    <w:link w:val="a7"/>
    <w:uiPriority w:val="99"/>
    <w:semiHidden/>
    <w:rsid w:val="003C453F"/>
    <w:rPr>
      <w:rFonts w:ascii="Times New Roman" w:eastAsia="仿宋_GB2312" w:hAnsi="Times New Roman" w:cs="Times New Roman"/>
      <w:sz w:val="32"/>
      <w:szCs w:val="24"/>
    </w:rPr>
  </w:style>
  <w:style w:type="paragraph" w:styleId="a8">
    <w:name w:val="Balloon Text"/>
    <w:basedOn w:val="a"/>
    <w:link w:val="Char2"/>
    <w:uiPriority w:val="99"/>
    <w:semiHidden/>
    <w:unhideWhenUsed/>
    <w:rsid w:val="003C453F"/>
    <w:rPr>
      <w:sz w:val="18"/>
      <w:szCs w:val="18"/>
    </w:rPr>
  </w:style>
  <w:style w:type="character" w:customStyle="1" w:styleId="Char2">
    <w:name w:val="批注框文本 Char"/>
    <w:basedOn w:val="a0"/>
    <w:link w:val="a8"/>
    <w:uiPriority w:val="99"/>
    <w:semiHidden/>
    <w:rsid w:val="003C453F"/>
    <w:rPr>
      <w:rFonts w:ascii="Times New Roman" w:eastAsia="仿宋_GB2312" w:hAnsi="Times New Roman" w:cs="Times New Roman"/>
      <w:sz w:val="18"/>
      <w:szCs w:val="18"/>
    </w:rPr>
  </w:style>
  <w:style w:type="paragraph" w:styleId="a9">
    <w:name w:val="No Spacing"/>
    <w:uiPriority w:val="1"/>
    <w:qFormat/>
    <w:rsid w:val="008D00E8"/>
    <w:pPr>
      <w:widowControl w:val="0"/>
      <w:jc w:val="both"/>
    </w:pPr>
  </w:style>
  <w:style w:type="character" w:customStyle="1" w:styleId="Char3">
    <w:name w:val="正文文本缩进 Char"/>
    <w:link w:val="aa"/>
    <w:locked/>
    <w:rsid w:val="002C11F3"/>
    <w:rPr>
      <w:rFonts w:ascii="仿宋_GB2312" w:eastAsia="仿宋_GB2312"/>
      <w:sz w:val="32"/>
    </w:rPr>
  </w:style>
  <w:style w:type="paragraph" w:styleId="aa">
    <w:name w:val="Body Text Indent"/>
    <w:basedOn w:val="a"/>
    <w:link w:val="Char3"/>
    <w:rsid w:val="002C11F3"/>
    <w:pPr>
      <w:ind w:firstLine="624"/>
    </w:pPr>
    <w:rPr>
      <w:rFonts w:ascii="仿宋_GB2312" w:hAnsiTheme="minorHAnsi" w:cstheme="minorBidi"/>
      <w:szCs w:val="22"/>
    </w:rPr>
  </w:style>
  <w:style w:type="character" w:customStyle="1" w:styleId="Char10">
    <w:name w:val="正文文本缩进 Char1"/>
    <w:basedOn w:val="a0"/>
    <w:uiPriority w:val="99"/>
    <w:semiHidden/>
    <w:rsid w:val="002C11F3"/>
    <w:rPr>
      <w:rFonts w:ascii="Times New Roman" w:eastAsia="仿宋_GB2312" w:hAnsi="Times New Roman" w:cs="Times New Roman"/>
      <w:sz w:val="32"/>
      <w:szCs w:val="24"/>
    </w:rPr>
  </w:style>
  <w:style w:type="paragraph" w:styleId="ab">
    <w:name w:val="Normal (Web)"/>
    <w:basedOn w:val="a"/>
    <w:uiPriority w:val="99"/>
    <w:unhideWhenUsed/>
    <w:rsid w:val="00C22F6C"/>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82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题词"/>
    <w:basedOn w:val="a"/>
    <w:uiPriority w:val="99"/>
    <w:rsid w:val="00AD682B"/>
    <w:pPr>
      <w:autoSpaceDE w:val="0"/>
      <w:autoSpaceDN w:val="0"/>
      <w:adjustRightInd w:val="0"/>
      <w:spacing w:line="240" w:lineRule="atLeast"/>
      <w:jc w:val="left"/>
    </w:pPr>
    <w:rPr>
      <w:rFonts w:ascii="宋体" w:cs="宋体"/>
      <w:b/>
      <w:bCs/>
      <w:kern w:val="0"/>
      <w:szCs w:val="32"/>
    </w:rPr>
  </w:style>
  <w:style w:type="paragraph" w:styleId="a4">
    <w:name w:val="footer"/>
    <w:basedOn w:val="a"/>
    <w:link w:val="Char"/>
    <w:unhideWhenUsed/>
    <w:rsid w:val="00AD682B"/>
    <w:pPr>
      <w:tabs>
        <w:tab w:val="center" w:pos="4153"/>
        <w:tab w:val="right" w:pos="8306"/>
      </w:tabs>
      <w:snapToGrid w:val="0"/>
      <w:jc w:val="left"/>
    </w:pPr>
    <w:rPr>
      <w:sz w:val="18"/>
      <w:szCs w:val="18"/>
    </w:rPr>
  </w:style>
  <w:style w:type="character" w:customStyle="1" w:styleId="Char">
    <w:name w:val="页脚 Char"/>
    <w:basedOn w:val="a0"/>
    <w:link w:val="a4"/>
    <w:rsid w:val="00AD682B"/>
    <w:rPr>
      <w:rFonts w:ascii="Times New Roman" w:eastAsia="仿宋_GB2312" w:hAnsi="Times New Roman" w:cs="Times New Roman"/>
      <w:sz w:val="18"/>
      <w:szCs w:val="18"/>
    </w:rPr>
  </w:style>
  <w:style w:type="character" w:styleId="a5">
    <w:name w:val="page number"/>
    <w:basedOn w:val="a0"/>
    <w:rsid w:val="00AD682B"/>
  </w:style>
  <w:style w:type="paragraph" w:styleId="a6">
    <w:name w:val="header"/>
    <w:basedOn w:val="a"/>
    <w:link w:val="Char0"/>
    <w:uiPriority w:val="99"/>
    <w:unhideWhenUsed/>
    <w:rsid w:val="00AD68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D682B"/>
    <w:rPr>
      <w:rFonts w:ascii="Times New Roman" w:eastAsia="仿宋_GB2312" w:hAnsi="Times New Roman" w:cs="Times New Roman"/>
      <w:sz w:val="18"/>
      <w:szCs w:val="18"/>
    </w:rPr>
  </w:style>
  <w:style w:type="paragraph" w:styleId="a7">
    <w:name w:val="Date"/>
    <w:basedOn w:val="a"/>
    <w:next w:val="a"/>
    <w:link w:val="Char1"/>
    <w:uiPriority w:val="99"/>
    <w:semiHidden/>
    <w:unhideWhenUsed/>
    <w:rsid w:val="003C453F"/>
    <w:pPr>
      <w:ind w:leftChars="2500" w:left="100"/>
    </w:pPr>
  </w:style>
  <w:style w:type="character" w:customStyle="1" w:styleId="Char1">
    <w:name w:val="日期 Char"/>
    <w:basedOn w:val="a0"/>
    <w:link w:val="a7"/>
    <w:uiPriority w:val="99"/>
    <w:semiHidden/>
    <w:rsid w:val="003C453F"/>
    <w:rPr>
      <w:rFonts w:ascii="Times New Roman" w:eastAsia="仿宋_GB2312" w:hAnsi="Times New Roman" w:cs="Times New Roman"/>
      <w:sz w:val="32"/>
      <w:szCs w:val="24"/>
    </w:rPr>
  </w:style>
  <w:style w:type="paragraph" w:styleId="a8">
    <w:name w:val="Balloon Text"/>
    <w:basedOn w:val="a"/>
    <w:link w:val="Char2"/>
    <w:uiPriority w:val="99"/>
    <w:semiHidden/>
    <w:unhideWhenUsed/>
    <w:rsid w:val="003C453F"/>
    <w:rPr>
      <w:sz w:val="18"/>
      <w:szCs w:val="18"/>
    </w:rPr>
  </w:style>
  <w:style w:type="character" w:customStyle="1" w:styleId="Char2">
    <w:name w:val="批注框文本 Char"/>
    <w:basedOn w:val="a0"/>
    <w:link w:val="a8"/>
    <w:uiPriority w:val="99"/>
    <w:semiHidden/>
    <w:rsid w:val="003C453F"/>
    <w:rPr>
      <w:rFonts w:ascii="Times New Roman" w:eastAsia="仿宋_GB2312" w:hAnsi="Times New Roman" w:cs="Times New Roman"/>
      <w:sz w:val="18"/>
      <w:szCs w:val="18"/>
    </w:rPr>
  </w:style>
  <w:style w:type="paragraph" w:styleId="a9">
    <w:name w:val="No Spacing"/>
    <w:uiPriority w:val="1"/>
    <w:qFormat/>
    <w:rsid w:val="008D00E8"/>
    <w:pPr>
      <w:widowControl w:val="0"/>
      <w:jc w:val="both"/>
    </w:pPr>
  </w:style>
  <w:style w:type="character" w:customStyle="1" w:styleId="Char3">
    <w:name w:val="正文文本缩进 Char"/>
    <w:link w:val="aa"/>
    <w:locked/>
    <w:rsid w:val="002C11F3"/>
    <w:rPr>
      <w:rFonts w:ascii="仿宋_GB2312" w:eastAsia="仿宋_GB2312"/>
      <w:sz w:val="32"/>
    </w:rPr>
  </w:style>
  <w:style w:type="paragraph" w:styleId="aa">
    <w:name w:val="Body Text Indent"/>
    <w:basedOn w:val="a"/>
    <w:link w:val="Char3"/>
    <w:rsid w:val="002C11F3"/>
    <w:pPr>
      <w:ind w:firstLine="624"/>
    </w:pPr>
    <w:rPr>
      <w:rFonts w:ascii="仿宋_GB2312" w:hAnsiTheme="minorHAnsi" w:cstheme="minorBidi"/>
      <w:szCs w:val="22"/>
    </w:rPr>
  </w:style>
  <w:style w:type="character" w:customStyle="1" w:styleId="Char10">
    <w:name w:val="正文文本缩进 Char1"/>
    <w:basedOn w:val="a0"/>
    <w:uiPriority w:val="99"/>
    <w:semiHidden/>
    <w:rsid w:val="002C11F3"/>
    <w:rPr>
      <w:rFonts w:ascii="Times New Roman" w:eastAsia="仿宋_GB2312" w:hAnsi="Times New Roman" w:cs="Times New Roman"/>
      <w:sz w:val="32"/>
      <w:szCs w:val="24"/>
    </w:rPr>
  </w:style>
  <w:style w:type="paragraph" w:styleId="ab">
    <w:name w:val="Normal (Web)"/>
    <w:basedOn w:val="a"/>
    <w:uiPriority w:val="99"/>
    <w:unhideWhenUsed/>
    <w:rsid w:val="00C22F6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4</Pages>
  <Words>519</Words>
  <Characters>2964</Characters>
  <Application>Microsoft Office Word</Application>
  <DocSecurity>0</DocSecurity>
  <Lines>24</Lines>
  <Paragraphs>6</Paragraphs>
  <ScaleCrop>false</ScaleCrop>
  <Company>幸福的家</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29</cp:revision>
  <cp:lastPrinted>2018-03-16T05:59:00Z</cp:lastPrinted>
  <dcterms:created xsi:type="dcterms:W3CDTF">2017-11-23T06:54:00Z</dcterms:created>
  <dcterms:modified xsi:type="dcterms:W3CDTF">2018-03-16T05:59:00Z</dcterms:modified>
</cp:coreProperties>
</file>