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F150D4">
      <w:pPr>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太仓港口党工委关于巡察整改进展情况的通报</w:t>
      </w:r>
    </w:p>
    <w:p w14:paraId="30212F11">
      <w:pPr>
        <w:jc w:val="left"/>
        <w:rPr>
          <w:rFonts w:hint="default" w:ascii="Times New Roman" w:hAnsi="Times New Roman" w:eastAsia="仿宋_GB2312" w:cs="Times New Roman"/>
          <w:sz w:val="32"/>
          <w:szCs w:val="32"/>
        </w:rPr>
      </w:pPr>
    </w:p>
    <w:p w14:paraId="40D6E1F7">
      <w:pPr>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sz w:val="32"/>
          <w:szCs w:val="32"/>
        </w:rPr>
        <w:t>根据市委</w:t>
      </w:r>
      <w:r>
        <w:rPr>
          <w:rFonts w:hint="default" w:ascii="Times New Roman" w:hAnsi="Times New Roman" w:eastAsia="仿宋_GB2312" w:cs="Times New Roman"/>
          <w:bCs/>
          <w:sz w:val="32"/>
          <w:szCs w:val="32"/>
        </w:rPr>
        <w:t>统一部署，2024年12月17日至2025年1月20日，市委第一巡察组对太仓港口党工委开展了巡察，并于3月14日反馈了巡察意见。按照有关规定和要求，现将巡察整改进展情况予以公布。</w:t>
      </w:r>
    </w:p>
    <w:p w14:paraId="7DD8759B">
      <w:pPr>
        <w:ind w:firstLine="640" w:firstLineChars="200"/>
        <w:jc w:val="left"/>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一、整改工作组织情况</w:t>
      </w:r>
    </w:p>
    <w:p w14:paraId="7EB26F7E">
      <w:pPr>
        <w:ind w:firstLine="640" w:firstLineChars="200"/>
        <w:jc w:val="left"/>
        <w:rPr>
          <w:rFonts w:hint="default" w:ascii="Times New Roman" w:hAnsi="Times New Roman" w:eastAsia="仿宋_GB2312" w:cs="Times New Roman"/>
          <w:bCs/>
          <w:sz w:val="32"/>
          <w:szCs w:val="32"/>
        </w:rPr>
      </w:pPr>
      <w:r>
        <w:rPr>
          <w:rFonts w:hint="default" w:ascii="Times New Roman" w:hAnsi="Times New Roman" w:eastAsia="仿宋_GB2312" w:cs="Times New Roman"/>
          <w:bCs/>
          <w:sz w:val="32"/>
          <w:szCs w:val="32"/>
        </w:rPr>
        <w:t>市委第一巡察组向太仓港口党工委反馈了4个方面13个问题，太仓港口党工委将巡察整改作为一项重大政治任务来抓，加强领导，压实责任，全力推进整改。</w:t>
      </w:r>
    </w:p>
    <w:p w14:paraId="23B2C6D1">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一是加强组织领导</w:t>
      </w:r>
      <w:r>
        <w:rPr>
          <w:rFonts w:hint="default" w:ascii="Times New Roman" w:hAnsi="Times New Roman" w:eastAsia="方正仿宋_GBK" w:cs="Times New Roman"/>
          <w:sz w:val="32"/>
          <w:szCs w:val="32"/>
        </w:rPr>
        <w:t>。成立了以管委会主要负责同志为组长，</w:t>
      </w:r>
      <w:r>
        <w:rPr>
          <w:rFonts w:hint="default" w:ascii="Times New Roman" w:hAnsi="Times New Roman" w:eastAsia="仿宋_GB2312" w:cs="Times New Roman"/>
          <w:snapToGrid w:val="0"/>
          <w:spacing w:val="-4"/>
          <w:kern w:val="0"/>
          <w:sz w:val="32"/>
          <w:szCs w:val="32"/>
        </w:rPr>
        <w:t>班子其他成员为副组长，各办局主要负责人为成员的巡察整改工作领导小组，明确纪检监察工委书记为领导小组办公室主任，负责督查督促工作。领导小组先后5次召开会议，传达巡察反馈会议精神，学习习近平总书记关于巡视整改工作重要论述，学习《中国共产党巡视工作条例》以及市委《关于加强巡察整改和成果运用的实施办法》、市委巡察领导小组《关于做好十三届市委第六轮巡察整改工作的通知》等文件精神，研究整改方案，布置和推进巡察整改工作，研究解决重点难点问题</w:t>
      </w:r>
      <w:r>
        <w:rPr>
          <w:rFonts w:hint="default" w:ascii="Times New Roman" w:hAnsi="Times New Roman" w:eastAsia="仿宋_GB2312" w:cs="Times New Roman"/>
          <w:sz w:val="32"/>
          <w:szCs w:val="32"/>
        </w:rPr>
        <w:t>。</w:t>
      </w:r>
    </w:p>
    <w:p w14:paraId="36849821">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二是压紧压实整改责任</w:t>
      </w:r>
      <w:r>
        <w:rPr>
          <w:rFonts w:hint="default" w:ascii="Times New Roman" w:hAnsi="Times New Roman" w:eastAsia="仿宋_GB2312" w:cs="Times New Roman"/>
          <w:sz w:val="32"/>
          <w:szCs w:val="32"/>
        </w:rPr>
        <w:t>。管委会主要负责同志主动承担起巡察整改第一责任人责任，对巡察整改负总责，带头领办重点难点问题，亲自过问、亲自督办整改工作。其他班子成员切实扛起“一岗双责”，主动认领问题，牵头分管办局抓好整改方案和整改清单制定、整改推进工作，积极协助配合其他班子成员落实交叉问题整改。各办局承担起具体问题的整改落实工作，制订整改措施，狠抓措施落实。</w:t>
      </w:r>
    </w:p>
    <w:p w14:paraId="25990F75">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三是制订巡察整改方案</w:t>
      </w:r>
      <w:r>
        <w:rPr>
          <w:rFonts w:hint="default" w:ascii="Times New Roman" w:hAnsi="Times New Roman" w:eastAsia="仿宋_GB2312" w:cs="Times New Roman"/>
          <w:sz w:val="32"/>
          <w:szCs w:val="32"/>
        </w:rPr>
        <w:t>。围绕巡察反馈的4个方面、13个问题清单，制订了89条整改措施，形成整改清单和责任清单，对每1个问题、每1项措施，都明确了牵头领导、牵头部门、参与部门以及整改目标和整改时限，确保整改工作人人担责任、项项有措施、事事有人抓、件件有着落。整改方案在按照规定上报市纪委监委机关、市委组织部、市委巡察办、市委第一巡察组同意的基础上，正式行文印发。</w:t>
      </w:r>
    </w:p>
    <w:p w14:paraId="391ABAA2">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四是召开专题民主生活会</w:t>
      </w:r>
      <w:r>
        <w:rPr>
          <w:rFonts w:hint="default" w:ascii="Times New Roman" w:hAnsi="Times New Roman" w:eastAsia="仿宋_GB2312" w:cs="Times New Roman"/>
          <w:sz w:val="32"/>
          <w:szCs w:val="32"/>
        </w:rPr>
        <w:t>。于4月3日召开了巡察整改专题民主生活会，委领导班子和班子成员紧紧围绕市委第一巡察组巡察、市委组织部选人用人专项检查、市委宣传部意识形态工作责任制专项检查反馈的问题，进行全面客观的对照检查分析，深刻剖析原因、举一反三制定整改措施，真诚坦荡开展批评和自我批评。会前，专题民主生活会方案等材料已报请市委相关部门同意</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会后，向市委相关部门报送了班子对照检查材料、班子成员个人发言材料和专题民主生活会召开情况报告。</w:t>
      </w:r>
    </w:p>
    <w:p w14:paraId="02449C5D">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五是全力推进整改工作</w:t>
      </w:r>
      <w:r>
        <w:rPr>
          <w:rFonts w:hint="default" w:ascii="Times New Roman" w:hAnsi="Times New Roman" w:eastAsia="仿宋_GB2312" w:cs="Times New Roman"/>
          <w:sz w:val="32"/>
          <w:szCs w:val="32"/>
        </w:rPr>
        <w:t>。发扬“钉钉子”的精神，一个问题一个问题解决，一项举措一项举措抓落实，全力推进整改工作，确保整改工作落到实处、改到细处。纪检监察工委制订巡察整改专项监督方案，实行整改落实工作月报制度，强化对整改工作的实时监督，保障整改工作有力有序推进。</w:t>
      </w:r>
    </w:p>
    <w:p w14:paraId="68371F7F">
      <w:pPr>
        <w:ind w:firstLine="640" w:firstLineChars="200"/>
        <w:jc w:val="left"/>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二、整改任务推进落实情况</w:t>
      </w:r>
    </w:p>
    <w:p w14:paraId="05B01BFD">
      <w:pPr>
        <w:overflowPunct w:val="0"/>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（一）集中整改期内完成的整改事项</w:t>
      </w:r>
    </w:p>
    <w:p w14:paraId="66F585CD">
      <w:pPr>
        <w:ind w:firstLine="640"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1.关于“安全防风险能力有所欠缺”问题的整改</w:t>
      </w:r>
    </w:p>
    <w:p w14:paraId="6BCB0F58">
      <w:pPr>
        <w:ind w:firstLine="640"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整改情况：一是加强安全监管队伍专业化建设。2025年以来，组织相关执法人员参加交通运输部、省市交通运输主管部门组织的港口安全生产专题培训。2025年6月组织开展</w:t>
      </w:r>
      <w:r>
        <w:rPr>
          <w:rFonts w:hint="eastAsia" w:ascii="Times New Roman" w:hAnsi="Times New Roman" w:eastAsia="仿宋_GB2312" w:cs="Times New Roman"/>
          <w:sz w:val="32"/>
          <w:szCs w:val="32"/>
          <w:lang w:val="en-US" w:eastAsia="zh-CN"/>
        </w:rPr>
        <w:t>了</w:t>
      </w:r>
      <w:r>
        <w:rPr>
          <w:rFonts w:hint="default" w:ascii="Times New Roman" w:hAnsi="Times New Roman" w:eastAsia="仿宋_GB2312" w:cs="Times New Roman"/>
          <w:sz w:val="32"/>
          <w:szCs w:val="32"/>
        </w:rPr>
        <w:t>《苏州市安全生产条例》宣讲培训</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8月组织全体执法人员完成年度行政执法人员公共法律知识培训。二是严格落实“审管分离”相关要求。目前已将安全生产监督与港政执法局承担的危险货物作业审批、核发《港口危险货物作业附证》等相关许可事项移交管委会党政办受理。三是扩大港口企业应急联动涵盖面。目前已在集装箱码头应急联防体基础上，指导液体化工码头和散杂货作业企业分别建立安全生产应急联动机制，并签订安全生产应急联动协议。四是加强与港口周边专业消防力量应急联动。2025年5月，与太仓市消防救援大队开展港口消防火灾应急联动座谈会。2025年6月邀请消防部门参与太仓港“安全生产月”消</w:t>
      </w:r>
      <w:bookmarkStart w:id="0" w:name="_GoBack"/>
      <w:bookmarkEnd w:id="0"/>
      <w:r>
        <w:rPr>
          <w:rFonts w:hint="default" w:ascii="Times New Roman" w:hAnsi="Times New Roman" w:eastAsia="仿宋_GB2312" w:cs="Times New Roman"/>
          <w:sz w:val="32"/>
          <w:szCs w:val="32"/>
        </w:rPr>
        <w:t>防技能竞赛、咨询服务日活动。2025年6月24日，长江石化、阳鸿石化联合港区化工消防站开展苯储罐泄露火灾事故应急演练。2025年6月26日，公用堆场联合华能消防站开展第3类危险货物集装箱泄漏、火灾综合演练。五是扎实开展隐患整改闭环。2024年第三方检查共发现隐患的468项问题已全部整改到位。下一步，我们将举一反三，指导港口企业分类梳理近年来上级督查、第三方检查和企业自查发现的隐患问题，剖析问题根源，重点关注设备使用及配置不符合安全防护要求、设备故障及损坏检修不及时等相关问题的整改，12月底前各港口企业形成隐患问题分析报告。</w:t>
      </w:r>
    </w:p>
    <w:p w14:paraId="1D22810D">
      <w:pPr>
        <w:ind w:firstLine="64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2.关于“港口信息化赋能、数智化转型缺乏系统性谋划”问题的整改</w:t>
      </w:r>
    </w:p>
    <w:p w14:paraId="77AC0F23">
      <w:pPr>
        <w:ind w:firstLine="64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改情况：一是编制完成《苏州港太仓港区科技与信息化建设三年规划》初稿，系统性谋划港口信息化赋能全港高质量发展工作。二是建设完成苏州港一体化服务平台，将现有的全港公共服务系统的登录入口进行整合，完成全港的企业流量汇聚；依托平台流量集聚效应，吸引了包括飞力达、聚舱网、市采通、运融通、大掌柜等港航物流业内知名互联网服务应用达成合作意向，并完成与聚舱网、德木仓储、运融通等第三方服务应用的对接工作；在苏州港一体化服务平台推出数据开放共享专区，构建全港数据中心，以此为支撑，支持线上查询和接口调用两种模式开放全港公共数据。三是以获评全国智慧口岸试点为契机，争取省商务厅支持，将苏州港一体化服务平台升级为中国江苏国际贸易单一窗口苏州专窗，打通了与江苏省电子口岸的报关单数据通道，在符合海关总署数据监管要求的前提下，可以调阅苏州地区报关单数据。四是修订完成《江苏太仓港口管理委员会信息化建设项目管理办法》，明确投资金额5万元以上的信息化项目必须编制《信息化项目可行性研究报告》为立项文档，并制定了信息化项目的过程管理文档和最终验收文档种类的范围。编制完成《信息化项目采购及建设工作指引》，建立信息化项目全流程监管制度，实现“预算-采购-验收-评估”全链条可视化、文件材料标准化管理。</w:t>
      </w:r>
    </w:p>
    <w:p w14:paraId="682E370A">
      <w:pPr>
        <w:overflowPunct w:val="0"/>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3.关于“码头扬尘治理‘头痛医头、脚痛医脚’”问题的整改</w:t>
      </w:r>
    </w:p>
    <w:p w14:paraId="6263D721">
      <w:pPr>
        <w:overflowPunct w:val="0"/>
        <w:ind w:firstLine="640" w:firstLineChars="200"/>
        <w:jc w:val="left"/>
        <w:rPr>
          <w:rFonts w:hint="default" w:ascii="Times New Roman" w:hAnsi="Times New Roman" w:cs="Times New Roman"/>
        </w:rPr>
      </w:pPr>
      <w:r>
        <w:rPr>
          <w:rFonts w:hint="default" w:ascii="Times New Roman" w:hAnsi="Times New Roman" w:eastAsia="仿宋_GB2312" w:cs="Times New Roman"/>
          <w:sz w:val="32"/>
          <w:szCs w:val="32"/>
        </w:rPr>
        <w:t>整改情况：</w:t>
      </w:r>
      <w:r>
        <w:rPr>
          <w:rFonts w:hint="default" w:ascii="Times New Roman" w:hAnsi="Times New Roman" w:eastAsia="仿宋_GB2312" w:cs="Times New Roman"/>
          <w:kern w:val="0"/>
          <w:sz w:val="32"/>
          <w:szCs w:val="32"/>
        </w:rPr>
        <w:t>一是紧抓快干，提速狠抓落实。推动码头加快实现监测系统与喷淋系统的耦合联动，6家干散货码头中除已实现全封闭的玖龙、华能电厂和协鑫电厂以外，华能港务、鑫海、武港码头已全面完成粉尘监测系统与喷淋系统耦合联动，顺利实现了“监测—预警—处置”闭环管理。二是多措并举，筑牢绿色防线。建立健全长效监管机制，督促企业码头、堆场采取干雾抑尘、喷淋、苫盖等降尘措施，定期检查码头企业粉尘治理情况，确保扬尘得到有效控制。今年以来，总悬浮颗粒物TSP、PM2.5、PM10除雾霾等大环境或不可抗拒的因素造成的预警超标外，正常情况下三项指标均符合标准要求。</w:t>
      </w:r>
    </w:p>
    <w:p w14:paraId="693B88FB">
      <w:pPr>
        <w:ind w:firstLine="64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4.关于“以制度管人管事管权的机制不完善”问题的整改</w:t>
      </w:r>
    </w:p>
    <w:p w14:paraId="1515ECB2">
      <w:pPr>
        <w:ind w:firstLine="64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改情况：一是修订《江苏太仓港口管理委员会专项资金管理制度》，将专项资金的申报、审核审查、监管等流程固化为明确的制度规定，规范各专项资金发放程序，确保具有可操作性。建立监督审核机制，业务办局对申报材料准确性、完整性、合规性负责，纪检监察工委对申报流程进行监督核查，专项资金拨付环节严格按照《江苏太仓港口管理委员会“三重一大”管理制度》实行。二是制定印发《江苏太仓港口管理委员会审批制度》，明确审批适用范围和审批流程管理，审批包括内部管理和对外事项审批两部分，均需按照申请受理、审查、审核、审批、反馈5个环节进行，并对整个过程中申请人、审查及审核人员、审批人员权责义务进行明确。建立审批监督机制，纪检监察工委监督人员定期调阅审批资料、检查审批操作记录，对发现的违规审批行为及时制止并上报党工委。要求各部门在《江苏太仓港口管理委员会审批制度》基础上，根据工作需要，梳理制定相应的工作审批流程单等，形成审批流程表格材料汇编，作为《江苏太仓港口管理委员会审批制度》附件，便于实际使用参照，以制度建设堵塞风险漏洞，推进工作流程闭环。</w:t>
      </w:r>
    </w:p>
    <w:p w14:paraId="427C9537">
      <w:pPr>
        <w:overflowPunct w:val="0"/>
        <w:ind w:firstLine="640" w:firstLineChars="200"/>
        <w:jc w:val="left"/>
        <w:rPr>
          <w:rFonts w:hint="default" w:ascii="Times New Roman" w:hAnsi="Times New Roman" w:eastAsia="楷体_GB2312" w:cs="Times New Roman"/>
          <w:kern w:val="0"/>
          <w:sz w:val="32"/>
          <w:szCs w:val="32"/>
        </w:rPr>
      </w:pPr>
      <w:r>
        <w:rPr>
          <w:rFonts w:hint="default" w:ascii="Times New Roman" w:hAnsi="Times New Roman" w:eastAsia="楷体_GB2312" w:cs="Times New Roman"/>
          <w:kern w:val="0"/>
          <w:sz w:val="32"/>
          <w:szCs w:val="32"/>
        </w:rPr>
        <w:t>（二）按计划持续推进的整改事项</w:t>
      </w:r>
    </w:p>
    <w:p w14:paraId="4ECA93C0">
      <w:pPr>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1.关于“构建安全监管全覆盖体系存在差距”问题的整改</w:t>
      </w:r>
    </w:p>
    <w:p w14:paraId="23DC7880">
      <w:pPr>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整改情况：一是健全安委会组织架构。梳理各口岸单位安全生产职责，印发调整太仓港口安全生产委员会成员的通知，将口岸单位、港口企业纳入太仓港口安委会。二是定期召开党工委、安委会会议，邀请各口岸单位和港口企业参加，共同研究部署、指导协调全港安全生产工作。2025年3月、5月召开党工委会议，2025年1月、4月、10月召开全港安全生产专题会议，分析安全生产形势，解决港口安全生产工作中的重大问题，印发各类通知、函、安全提示46份。三是加强与属地应急、消防、气象等行业部门联动。制定2025年跨部门“双随机、一公开”监管计划，联合太仓市市场监管、生态环境等部门开展执法检查，今年以来共联合检查企业10家次。9月4日，与太仓市应急、市场监管、消防、气象等行业部门开展港口安全监管联动机制建设座谈交流并形成会议纪要，明确港口领域各自安全监管职责、联合检查指导实施方式及频次等联动内容。四是完善应急预案体系。目前太仓市突发事件总体应急预案、防御台风等预案已将太仓港口纳入预案内容。目前，正在修订太仓港危险货物事故及预防自然灾害等相关应急预案，将同太仓市应急预案体系进行有效衔接。五是推进过境危险货物协同监管。联合太仓海事局指导危险货物港口企业编制过境危险货物安全管理制度和危险货物集装箱作业管理制度，明确信息收集、人员培训、船岸检查和应急处置等内容，2025年4月、8月分别联合太仓海事局开展过境危险货物、船舶靠离泊、船岸界面管理等专项安全检查。下一步，将继续推进海事、港口危险货物数据共享，目前已向苏州市交通运输局、省交通运输综合执法局汇报，积极对上争取同意，通过港口和海事部门作业系统对接实现过境危险货物数据共享。</w:t>
      </w:r>
    </w:p>
    <w:p w14:paraId="03C0F275">
      <w:pPr>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2.关于“重大危险源存在薄弱环节”问题的整改</w:t>
      </w:r>
    </w:p>
    <w:p w14:paraId="5A13815E">
      <w:pPr>
        <w:ind w:firstLine="640" w:firstLineChars="200"/>
        <w:jc w:val="left"/>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整改情况：一是推进设备设施升级改造。指导两家石化码头企业对装车台3个装车位完成下装式装车系统改造，进一步提升装车作业安全性，下一步将继续指导企业实施静电释放、拉断阀检查、气相监测、静电接地、稳油时间、鹤管归位等作业关键环节安全连锁管控。二是组织开展港口储罐本质安全提升行动。指导两家石化码头企业对生产作业全过程、全场景全面开展安全辨识评估，制定落实管控措施，并逐个储罐开展安全风险排查治理。目前已完成全部150个储罐的排查，发现隐患问题37项，已整改完成28项。对雷电预警、视频监控等四个系统使用情况进行专项检查指导，发现企业存在视频监控覆盖范围不足和共用雷电预警系统等问题。下一步将指导督促企业继续开展储罐本质安全提升行动，并及时整改发现的隐患问题。三是组织开展汛期暑期港口安全生产重大风险隐患排查整治。指导两家石化码头企业自查发现隐患问题50项，其中重大事故隐患2项，管委会监督检查发现隐患问题16项，其中重大事故隐患1项，均已全部完成整改。下一步，将针对前期排查整治发现的重大隐患和突出问题，开展整改情况“回头看”。四是加强储罐日常运行管理。指导两家石化码头企业建立完善储罐“一罐一档”资料，加强全寿命周期安全管理。年内，两家企业计划检测储罐115个，目前已完成87个，管委会计划抽检储罐9个，目前正在办理招投标手续。下一步，将继续稳步推进企业储罐定期检测和抽检工作，根据检测结果落实继续使用、监控使用和停止使用等分级管控措施。五是全过程辅导企业办理作业资质。会同太仓港经济技术开发区及相关企业赴盐城、镇江、南京等地交流学习港口硫磺作业管理经验。指导企业修订完善硫磺作业方案、操作规程和作业指导书，制定硫磺安全生产事故专项应急预案和现场处置方案，开展硫磺火灾事故专项应急演练。目前，企业硫磺作业配套技术改造项目已通过备案立项，正在委托设计部门开展设计。下一步，将继续跟进指导项目建设和生产作业安全管理，保障作业安全。</w:t>
      </w:r>
    </w:p>
    <w:p w14:paraId="09EF01E7">
      <w:pPr>
        <w:ind w:firstLine="64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3.关于“对周边大港的冲击化解办法不多，破解难题实效不强”问题的整改</w:t>
      </w:r>
    </w:p>
    <w:p w14:paraId="5D096490">
      <w:pPr>
        <w:pStyle w:val="6"/>
        <w:spacing w:line="240" w:lineRule="auto"/>
        <w:ind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整改情况：一是按照“控江苏、争长江、强内功”的发展战略，充分发挥太仓港区位和资源优势，加快布局长江内河支线，着力提升太仓港江海中转箱量和内贸占比。今年1-9月，太仓港江海中转箱量完成329.5万标箱，同比增长5.4%，江海中转比例下降趋势有所缓解；内贸箱量完成261.9万标箱，占总量40.2%，占比较去年同期增长3.4个百分点。二是“控江苏”方面，加强“徐苏穿巴”示范效应，1-9月已完成2.4万标箱；积极协调各航运主体布局盐城、宿迁、淮安、泰州等苏北地区内河支线，1-9月来往箱量分别完成4.2万、5.3万、7万、3.7万标箱；新辟镇江等苏南地区内河支线，1-9月来往箱量完成3.6万标箱；增强“苏州内河穿巴”服务能级，特别是在中美贸易关税升级期间，帮助苏州本地企业进一步降低物流成本，1-9月运输箱量超过2.6万标箱，船舶配载率达90%以上；提升省内及周边省份货源吸引力度，提升“济苏穿巴”营运规模，新辟山东泰安-太仓港内河支线。三是“争长江”方面，推动重庆、江西等地支线船公司调头班业务全面落地，今年1-9月，重庆、江西在苏州港集并中转分别为70.6万、6.4万标箱，同比分别增长40.9%、68.4%；做大武汉长江支线规模，今年1-9月完成22.7万标箱，同比增长28.2%。四是“强内功”方面，加快布局内外贸干线。在年度集装箱发展政策中增加内贸干线扶持条款。今年4月新增厦门泉州线；新增柬埔寨西哈努克港航线、俄罗斯圣彼得堡航线、阿联酋豪尔费坎航线、非洲滚集一体航线；推动中远海特在苏州成立航运公司，其南美东航线已形成周班密度，开辟东南亚、西北欧、波斯湾航线。</w:t>
      </w:r>
    </w:p>
    <w:p w14:paraId="302E5D7A">
      <w:pPr>
        <w:pStyle w:val="6"/>
        <w:spacing w:line="240" w:lineRule="auto"/>
        <w:ind w:firstLine="640" w:firstLineChars="200"/>
        <w:rPr>
          <w:rFonts w:hint="default" w:ascii="Times New Roman" w:hAnsi="Times New Roman" w:eastAsia="仿宋_GB2312" w:cs="Times New Roman"/>
        </w:rPr>
      </w:pPr>
      <w:r>
        <w:rPr>
          <w:rFonts w:hint="default" w:ascii="Times New Roman" w:hAnsi="Times New Roman" w:eastAsia="仿宋_GB2312" w:cs="Times New Roman"/>
          <w:kern w:val="0"/>
        </w:rPr>
        <w:t xml:space="preserve"> </w:t>
      </w:r>
      <w:r>
        <w:rPr>
          <w:rFonts w:hint="default" w:ascii="Times New Roman" w:hAnsi="Times New Roman" w:eastAsia="仿宋_GB2312" w:cs="Times New Roman"/>
        </w:rPr>
        <w:t>4.关于“部分目标任务完成情况逊于预期”问题的整改</w:t>
      </w:r>
    </w:p>
    <w:p w14:paraId="30FF63A6">
      <w:pPr>
        <w:pStyle w:val="6"/>
        <w:shd w:val="clear" w:color="auto" w:fill="FFFFFF"/>
        <w:spacing w:line="240" w:lineRule="auto"/>
        <w:ind w:firstLine="640" w:firstLineChars="200"/>
        <w:jc w:val="both"/>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整改情况：一是与国内外友好港口增强互访并深化业务合作。国内港口方面，2025年以来上海港与太仓港互动箱量达143万标箱、安徽至太仓港完成箱量达32.1万标箱，新辟泉州港内贸干线及武汉长江支线，推动重庆支线驳船在太仓港实现全面调头，推动宁波港与江苏省港合资的鑫海码头完成大连商交所全国首单原木期货车板交割业务。国际港口方面，与钱凯港签署友好港口协议书；6月赴德国汉堡港拜访相关港航企业，7月赴广州中远海特商讨开辟太仓港至德国相关航线，并开辟太仓港至德国航线。今年以来，太仓港通过中转上海港运抵德国汉堡港、新加坡港的物流路径运行顺畅，1-9月分别完成3.5万、1.4万标箱。协调航运企业开辟德国汉堡包船定制航线，运输储能柜货值超3000万元。二是督促和帮助企业重新调整完善工程组织体系，健全统一协调、全过程管控机制，加强跟踪监督，及时协调解决施工堵点，截至目前，协鑫电厂码头改扩建项目已完工。举一反三，建立健全预警与约谈机制，强化对工程建设全过程管控意识；深化建设单位履行法定义务考核及参建单位履约考核应用，将各参建单位协同配合、进度把控等纳入信用信息管理评价体系，推动整个太仓港建设管理水平整体提升；深度推进“建管分离”，梳理和明晰建设市场监管职责。组织正和兴港集装箱码头和现代货箱集装箱码头列明智慧化改造工作计划；帮助现代货箱集装箱码头协调联通公司，解决在其场内新建信号发射铁塔问题；截至今年9月，正和兴港集装箱码头完成5台自动化轮胎吊的采购或改造工作，现代货箱集装箱码头完成4台自动化轮胎吊的改造工作，下一步将坚决保障上述两码头按目标进度完成堆场自动化改造工作。三是推动《沪太同港化方案》加快落地。协调上海港一致同意共同给予“太申快航”最优靠泊等级和优惠装卸费率，为长江中上游驳船服务时间延长至24小时全天候，1-9月“太申快航”完成25.2万标箱，同比增长60.5%。实现太仓港空箱中心与上海港空箱中心无缝衔接，今年1-9月从上海港调入空箱31.5万标箱。加强内河港口对接力度，苏州及浙北湖州等内河港1-9月完成箱量达24.9万，同比增长24.5%。承接好上海港溢出效应，协调上海海关同意推出联动接卸2.0模式，即陆路进港集装箱可在太仓港报关查验后运至上海港，目前该模式已启动试运行。</w:t>
      </w:r>
    </w:p>
    <w:p w14:paraId="73B62AAF">
      <w:pPr>
        <w:pStyle w:val="6"/>
        <w:spacing w:line="240" w:lineRule="auto"/>
        <w:ind w:firstLine="640" w:firstLineChars="200"/>
        <w:jc w:val="both"/>
        <w:rPr>
          <w:rFonts w:hint="default" w:ascii="Times New Roman" w:hAnsi="Times New Roman" w:eastAsia="仿宋_GB2312" w:cs="Times New Roman"/>
          <w:kern w:val="0"/>
        </w:rPr>
      </w:pPr>
      <w:r>
        <w:rPr>
          <w:rFonts w:hint="default" w:ascii="Times New Roman" w:hAnsi="Times New Roman" w:eastAsia="仿宋_GB2312" w:cs="Times New Roman"/>
          <w:kern w:val="0"/>
        </w:rPr>
        <w:t>5.关于“问题整改流于形式”问题的整改</w:t>
      </w:r>
    </w:p>
    <w:p w14:paraId="582628DE">
      <w:pPr>
        <w:overflowPunct w:val="0"/>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整改情况：</w:t>
      </w:r>
      <w:r>
        <w:rPr>
          <w:rFonts w:hint="default" w:ascii="Times New Roman" w:hAnsi="Times New Roman" w:eastAsia="仿宋_GB2312" w:cs="Times New Roman"/>
          <w:kern w:val="0"/>
          <w:sz w:val="32"/>
          <w:szCs w:val="32"/>
        </w:rPr>
        <w:t>一是深入分析，做到标本兼治。针对相关码头企业的实际运营状况、经营货种以及环保政策的相关要求，开展深入调研分析并组织多次座谈会和问题整改工作推进会，为每家企业量身定制了切实可行的整改实施方案，确保整改方案具备合理性和可行性。二是精准指导，持续跟踪推进。根据不同整改方案，精准指导相关码头企业启动整改工作。截至目前，已与第三方专业机构对接，其中两家依托码头技改项目开展环境影响评价，其余已正式启动环境影响后评估工作。下一步，将与苏州市太仓生态环境局、太仓港经济技术开发区管理委员会主动对接、加强沟通，完成技改项目环境影响评价以及后评估工作，在2025年12月之前完成取得环评批复以及后评估意见。三是深化研究，统筹谋划实施。对目前未建设初期雨水收集设施的码头企业，要求严格落实水污染防治相关法律法规要求，履行水污染防治主体责任。四是建立健全长效监督管理机制，常态化实施定期和不定期检查，全面掌握码头企业水污染防治工作开展情况，截至目前，相关码头企业已完成初期雨水收集设施建设方案研究，全港未发生一起水污染生态环境影响事故。下一步，将及时了解掌握并组织企业开展污水防治规范学习，指导有条件的码头加快推进初期雨水收集设施建设，力争尽快实现初期雨水全收集并妥善处置。</w:t>
      </w:r>
    </w:p>
    <w:p w14:paraId="07939E8F">
      <w:pPr>
        <w:overflowPunct w:val="0"/>
        <w:ind w:firstLine="640" w:firstLineChars="200"/>
        <w:jc w:val="left"/>
        <w:rPr>
          <w:rFonts w:hint="default" w:ascii="Times New Roman" w:hAnsi="Times New Roman" w:eastAsia="仿宋_GB2312" w:cs="Times New Roman"/>
          <w:b/>
          <w:bCs/>
          <w:kern w:val="0"/>
          <w:sz w:val="32"/>
          <w:szCs w:val="32"/>
        </w:rPr>
      </w:pPr>
      <w:r>
        <w:rPr>
          <w:rFonts w:hint="default" w:ascii="Times New Roman" w:hAnsi="Times New Roman" w:eastAsia="仿宋_GB2312" w:cs="Times New Roman"/>
          <w:kern w:val="0"/>
          <w:sz w:val="32"/>
          <w:szCs w:val="32"/>
        </w:rPr>
        <w:t>6.关于“对企业监管‘走过场’”问题的整改</w:t>
      </w:r>
    </w:p>
    <w:p w14:paraId="269B3257">
      <w:pPr>
        <w:overflowPunct w:val="0"/>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整改情况：</w:t>
      </w:r>
      <w:r>
        <w:rPr>
          <w:rFonts w:hint="default" w:ascii="Times New Roman" w:hAnsi="Times New Roman" w:eastAsia="仿宋_GB2312" w:cs="Times New Roman"/>
          <w:kern w:val="0"/>
          <w:sz w:val="32"/>
          <w:szCs w:val="32"/>
        </w:rPr>
        <w:t>一是细化节点，明确实施目标。督促太仓国际集装箱码头明确责任人，制定详细工程进度计划，挂图作战、倒排工期，截至目前，太仓国际集装箱码头堆场初期雨水收集设施项目已完成招标和合同签订工作，计划2025年10月下旬正式开工。下一步，将跟进工程建设进度，确保堆场初期雨水收集设施在2026年3月底前完成工程总量的50%，力争2026年12月底完工。二是以考促升，引入以信促行。提高对码头企业的考核力度，确保考核工作不流于形式，将太仓国际集装箱码头堆场初期雨水收集设施建设纳入年度信用评价考核，确保环保提升项目尽快建成投用，进一步提升港口污染防治能力。三是严管厚爱，牢筑绿色底线。指导华能太仓港务公司根据《危险废物贮存污染控制标准》（GB18597-2023）要求，进一步优化危险废物库建设方案，并于2025年4月完成危险废物库建设，已正式投入使用。</w:t>
      </w:r>
    </w:p>
    <w:p w14:paraId="600113B2">
      <w:pPr>
        <w:overflowPunct w:val="0"/>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7.关于“推动码头作业能源消费低碳化、运输方式绿色化方面举措不多”问题的整改</w:t>
      </w:r>
    </w:p>
    <w:p w14:paraId="200440B3">
      <w:pPr>
        <w:overflowPunct w:val="0"/>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整改情况：</w:t>
      </w:r>
      <w:r>
        <w:rPr>
          <w:rFonts w:hint="default" w:ascii="Times New Roman" w:hAnsi="Times New Roman" w:eastAsia="仿宋_GB2312" w:cs="Times New Roman"/>
          <w:kern w:val="0"/>
          <w:sz w:val="32"/>
          <w:szCs w:val="32"/>
        </w:rPr>
        <w:t>一是积极布局，有效创新运用。开展全港近零碳港口建设方案研究，组织召开港口储能设备研究座谈会，研究全港储能设施布局，引导企业推进港作机械“油改气”“油改电”工作；树立典型，指导正和兴港码头推进近零碳港口建设，并积极申报纳入省级绿色港口典型案例。二是上传下达，营造热烈氛围。深入贯彻落实大规模设备更新及消费品以旧换新政策，及时传达上级政策精神，指导企业抢抓国家政策机遇，倡导具备条件的企业加速设备设施的迭代更新与升级改造。三是目标导向，制订切实可行计划。2025年，全港计划新购或租赁新能源和清洁能源港作机械72台，淘汰老旧港作机械41台。截至目前，全港新购或租赁新能源或清洁能源港作机械67台，完成年度任务93%，总投资超2亿元。四是结果导向，大力协调督促。督促海通码头完成5套岸基供电设施建设；2025年4月协调太仓供电公司完成海通码头岸电电压扩容工作，2025年7月底取得船级社重载试验证明文件，2025年9月初完成连船调试并启动常态化运行，在后续运营中，督促海通码头严格落实“安全保障—运行监测—维护管理”要求，确保岸电系统稳定高效服务船舶用电需求。五是精准施策，助力绿色航行。加强日常监督检查力度，督促全港企业继续推进船舶靠港使用岸电相关规定。今年以来，共开展各类抽查和联合检查码头企业49家次，出动人员118人次，全港岸电设施运行良好、维护管理到位，船舶靠港使用岸电应接尽接率100%。六是科技赋能，做到精益求精。纵深推动岸电设施网络化、智能化，目前全港建成131套岸电设施，除液体化工码头外，港口岸电设施泊位覆盖率达到100%，岸电设施智能化率达到100%，船E行信息系统岸电接入率达到100%，截至2025年9月底，全港岸电使用量约439万kWh，比去年同期增长16%。</w:t>
      </w:r>
    </w:p>
    <w:p w14:paraId="2E6AA440">
      <w:pPr>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8.关于“资金监管存在较大隐患”问题的整改</w:t>
      </w:r>
    </w:p>
    <w:p w14:paraId="674CD441">
      <w:pPr>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整改情况：</w:t>
      </w:r>
      <w:r>
        <w:rPr>
          <w:rFonts w:hint="default" w:ascii="Times New Roman" w:hAnsi="Times New Roman" w:eastAsia="仿宋_GB2312" w:cs="Times New Roman"/>
          <w:bCs/>
          <w:sz w:val="32"/>
          <w:szCs w:val="32"/>
        </w:rPr>
        <w:t>一是在制定新的集装箱发展政策时，召集码头、航运企业、代理等单位广泛听取意见，对政策内容进行充分讨论推敲，严格履行合法性审查、公平性审查程序，并报党工委会议集体讨论研究。政策发布后，及时组织召开政策宣贯会议，解读相关要求。二是专门制订《关于推动太仓港高质量发展若干政策措施奖励资金审核发放实施办法》，进一步明确政策兑现流程，对在兑现过程中存在分歧的，将进行集体讨论，形成书面意见，防止个人主观臆断情况的发生。同时，要求引入第三方审计机构，并对兑现过程中核查比例标准进行全面提升，要求对申请奖励的申报箱量数据在1万标箱以内的核查比例100%，达到1-10万标箱的随机核查比例超过35%，达到10万标箱以上的随机核查比例超过10%；核查过程中，如发现申报数据错误率达到1%的，随机核查比例在原定基础上再提高5%，对发现有恶意错报多申请奖补的，对申报主体也明确了惩戒机制。</w:t>
      </w:r>
      <w:r>
        <w:rPr>
          <w:rFonts w:hint="default" w:ascii="Times New Roman" w:hAnsi="Times New Roman" w:eastAsia="仿宋_GB2312" w:cs="Times New Roman"/>
          <w:kern w:val="0"/>
          <w:sz w:val="32"/>
          <w:szCs w:val="32"/>
        </w:rPr>
        <w:t>三是针对安全观测平台项目补助资金问题，2025年4月管委会对太仓港口投资发展有限公司下达了《关于尽快退回超额拨付部分资金的函》，太仓港口投资发展有限公司高度重视，加快开展财务决算审计，并于2025年5月23日退回超额拨付部分资金6142760.75元。四是针对太仓港党建引领绿色发展示范项目补助资金问题，2025年4月，北三期（郊野公园）党建引领绿色发展示范项目已完成项目审计，拨付剩余补助资金10015.62元；太仓国际、苏州现代党建引领绿色发展示范项目正在审计中，预计10月底提交审计报告。下一步，将督促太仓国际和苏州现代两家企业加快完成审计，并根据审计金额拨付剩余补助资金；同时强化预算管理，动态跟踪项目推进时序，对纳入当年预算补贴项目，如年内无法完成规定程序拨付补助资金的，提前上报党工委预算调整申请，确保财政资金使用规范高效。</w:t>
      </w:r>
    </w:p>
    <w:p w14:paraId="5D5BA356">
      <w:pPr>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kern w:val="0"/>
          <w:sz w:val="32"/>
          <w:szCs w:val="32"/>
        </w:rPr>
        <w:t>9.关于“部分项目程序不规范，存在廉政风险”问题的整改</w:t>
      </w:r>
    </w:p>
    <w:p w14:paraId="2559FE11">
      <w:pPr>
        <w:ind w:firstLine="640" w:firstLineChars="200"/>
        <w:jc w:val="left"/>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整改情况：</w:t>
      </w:r>
      <w:r>
        <w:rPr>
          <w:rFonts w:hint="default" w:ascii="Times New Roman" w:hAnsi="Times New Roman" w:eastAsia="仿宋_GB2312" w:cs="Times New Roman"/>
          <w:kern w:val="0"/>
          <w:sz w:val="32"/>
          <w:szCs w:val="32"/>
        </w:rPr>
        <w:t>一是严格按照《港口法》《港口基础设施维护管理规定》《中华人民共和国招标投标法》等法律法规，完成锚地委托管理招投标流程研究，明晰合法合规的招投标流程及锚地管理运营单位资质要求，2025年9月4日已完成开标，并与中标单位签订服务合同，下一步将指导服务单位进一步完善规章制度建设等相关工作，确保锚地运营无缝衔接，为船舶安全运营保驾护航；研究锚泊费征收监管相关措施，明确锚泊费专项审计工作，下一步计划于2026年初启动相关审计工作，对前期运营单位服务情况进行阶段性总结；不定期对运营单位日常征收使用台账进行抽查，并纳入公司运营服务考核范畴，相关审计服务费用纳入年度预算范畴。</w:t>
      </w:r>
      <w:r>
        <w:rPr>
          <w:rFonts w:hint="default" w:ascii="Times New Roman" w:hAnsi="Times New Roman" w:eastAsia="仿宋_GB2312" w:cs="Times New Roman"/>
          <w:sz w:val="32"/>
          <w:szCs w:val="32"/>
        </w:rPr>
        <w:t>二是按照上级关于政府采购的有关制度，结合港口实际，制定了《江苏太仓港口管理委员会政府采购管理办法》，明确港口委采购适用条件、采购方式、运作程序及采购流程等，确保采购工作各个环节有章可循；单独汇编政府采购方式的具体适用情形和操作流程图，供各办局实际使用参考，避免出现执行偏差和环节漏洞；构建内部监督体系，由纪检监察、党政办人员组成监督小组，对采购全过程定期进行检查，发现问题及时整改，确保制度执行到位。三是</w:t>
      </w:r>
      <w:r>
        <w:rPr>
          <w:rFonts w:hint="default" w:ascii="Times New Roman" w:hAnsi="Times New Roman" w:eastAsia="仿宋_GB2312" w:cs="Times New Roman"/>
          <w:bCs/>
          <w:sz w:val="32"/>
          <w:szCs w:val="32"/>
        </w:rPr>
        <w:t>针对“太申快航”运营平台问题，我委主动加强与上海港的协调力度，已于4月份通过政府采购平台以公开招标方式确定平台运营方，进一步加强太仓港对“太申快航”平台管理的掌控力和主动权。</w:t>
      </w:r>
    </w:p>
    <w:p w14:paraId="36661462">
      <w:pPr>
        <w:pStyle w:val="6"/>
        <w:spacing w:line="240" w:lineRule="auto"/>
        <w:rPr>
          <w:rFonts w:hint="default" w:ascii="Times New Roman" w:hAnsi="Times New Roman" w:eastAsia="黑体" w:cs="Times New Roman"/>
        </w:rPr>
      </w:pPr>
      <w:r>
        <w:rPr>
          <w:rFonts w:hint="default" w:ascii="Times New Roman" w:hAnsi="Times New Roman" w:eastAsia="仿宋_GB2312" w:cs="Times New Roman"/>
          <w:kern w:val="0"/>
        </w:rPr>
        <w:t xml:space="preserve">   </w:t>
      </w:r>
      <w:r>
        <w:rPr>
          <w:rFonts w:hint="default" w:ascii="Times New Roman" w:hAnsi="Times New Roman" w:eastAsia="黑体" w:cs="Times New Roman"/>
          <w:kern w:val="0"/>
        </w:rPr>
        <w:t xml:space="preserve"> 三、下一步工作打算</w:t>
      </w:r>
    </w:p>
    <w:p w14:paraId="3EC884D6">
      <w:pPr>
        <w:ind w:firstLine="64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委第一巡察组巡察以来，经过集中推进、深入扎实的工作，巡察整改工作取得了阶段性成果。下一步，太仓港口党工委将坚持以习近平新时代中国特色社会主义思想为指导，坚持更高标准、更严要求，进一步加大工作力度，真改实改、全面整改、彻底整改，努力向市委、向全港干部职工交出满意答卷。</w:t>
      </w:r>
    </w:p>
    <w:p w14:paraId="74D24A20">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（一）以更大力度抓好巡察整改工作</w:t>
      </w:r>
      <w:r>
        <w:rPr>
          <w:rFonts w:hint="default" w:ascii="Times New Roman" w:hAnsi="Times New Roman" w:eastAsia="仿宋_GB2312" w:cs="Times New Roman"/>
          <w:sz w:val="32"/>
          <w:szCs w:val="32"/>
        </w:rPr>
        <w:t>。进一步加强对巡察整改工作的组织领导，进一步压紧压实责任，保持整改工作的强有力推进态势。对已经完成整改问题定期开展“回头看”，巩固好整改成效，坚决防止反弹反复和边改边犯。对明确近期整改到位的问题，严格按照整改方案要求，以“钉钉子”的精神，一项一项整改到位，一个一个对帐销号。对需要长期努力整改到位的问题，紧盯不放、坚持不懈、持之以恒抓推进。狠抓督促检查，用好问责武器，对整改不力、拖延整改、敷衍整改、虚假整改的，严肃追责问责。</w:t>
      </w:r>
    </w:p>
    <w:p w14:paraId="1EED1E53">
      <w:pPr>
        <w:pStyle w:val="6"/>
        <w:spacing w:line="240" w:lineRule="auto"/>
        <w:rPr>
          <w:rFonts w:hint="default" w:ascii="Times New Roman" w:hAnsi="Times New Roman" w:eastAsia="仿宋_GB2312" w:cs="Times New Roman"/>
        </w:rPr>
      </w:pPr>
      <w:r>
        <w:rPr>
          <w:rFonts w:hint="default" w:ascii="Times New Roman" w:hAnsi="Times New Roman" w:cs="Times New Roman"/>
        </w:rPr>
        <w:t xml:space="preserve">   </w:t>
      </w:r>
      <w:r>
        <w:rPr>
          <w:rFonts w:hint="default" w:ascii="Times New Roman" w:hAnsi="Times New Roman" w:eastAsia="楷体_GB2312" w:cs="Times New Roman"/>
        </w:rPr>
        <w:t xml:space="preserve"> （二）以常态长效思维抓好建章立制工作</w:t>
      </w:r>
      <w:r>
        <w:rPr>
          <w:rFonts w:hint="default" w:ascii="Times New Roman" w:hAnsi="Times New Roman" w:eastAsia="仿宋_GB2312" w:cs="Times New Roman"/>
        </w:rPr>
        <w:t>。坚持标本兼治、常态长效，继续从思想源头和制度根本上同时发力，对市委第一巡察组巡察反馈的问题举一反三、剖析原因，把反馈的问题作为一面镜子，以巡察整改落实工作为契机，坚持整改问题与建章立制相结合，坚持治当前与管长远相结合，建立健全各类规章制度，形成相互衔接相互配套的长效工作机制，做到以制度管权管事管人，不断巩固和扩大整改成果。</w:t>
      </w:r>
    </w:p>
    <w:p w14:paraId="2700564C">
      <w:pPr>
        <w:ind w:firstLine="640"/>
        <w:jc w:val="left"/>
        <w:rPr>
          <w:rFonts w:hint="default" w:ascii="Times New Roman" w:hAnsi="Times New Roman" w:eastAsia="仿宋_GB2312" w:cs="Times New Roman"/>
          <w:sz w:val="32"/>
          <w:szCs w:val="32"/>
        </w:rPr>
      </w:pPr>
      <w:r>
        <w:rPr>
          <w:rFonts w:hint="default" w:ascii="Times New Roman" w:hAnsi="Times New Roman" w:eastAsia="楷体_GB2312" w:cs="Times New Roman"/>
          <w:sz w:val="32"/>
          <w:szCs w:val="32"/>
        </w:rPr>
        <w:t>（三）以一严到底的决心抓好全面从严治党工作</w:t>
      </w:r>
      <w:r>
        <w:rPr>
          <w:rFonts w:hint="default" w:ascii="Times New Roman" w:hAnsi="Times New Roman" w:eastAsia="仿宋_GB2312" w:cs="Times New Roman"/>
          <w:sz w:val="32"/>
          <w:szCs w:val="32"/>
        </w:rPr>
        <w:t>。加强政治建设，坚持把政治建设摆在首位，严守政治纪律政治规矩，善于从政治上观察和思考问题，不断增强政治判断力、政治领悟力、政治执行力，用实际行动践行“两个维护”。加强思想建设，坚持以新思想凝心铸魂，深入学习贯彻习近平新时代中国特色社会主义思想，及时跟进学习习近平总书记最新重要讲话和指示批示精神、特别是关于江苏工作重要讲话指示精神、关于港口建设发展重要讲话精神，夯实理想信念堤坝。加强组织建设，强化各支部建设，增强战斗堡垒作用。加强作风建设，巩固学习教育成果，严格贯彻落实中央八项规定及其实施细则精神，持续整治形式主义、官僚主义突出问题，不断优化营商环境。加强党风廉政建设，坚持“严”的主基调，压紧压实“两个责任”，围绕专项资金、补贴补助、项目采购等重要事项加强监督，营造风清气正的政治生态。</w:t>
      </w:r>
    </w:p>
    <w:p w14:paraId="55717CF1">
      <w:pPr>
        <w:pStyle w:val="6"/>
        <w:spacing w:line="240" w:lineRule="auto"/>
        <w:ind w:firstLine="640"/>
        <w:rPr>
          <w:rFonts w:hint="default" w:ascii="Times New Roman" w:hAnsi="Times New Roman" w:eastAsia="仿宋_GB2312" w:cs="Times New Roman"/>
        </w:rPr>
      </w:pPr>
      <w:r>
        <w:rPr>
          <w:rFonts w:hint="default" w:ascii="Times New Roman" w:hAnsi="Times New Roman" w:eastAsia="楷体_GB2312" w:cs="Times New Roman"/>
        </w:rPr>
        <w:t>（四）以更实举措不断夯实太仓港高质量发展基础</w:t>
      </w:r>
      <w:r>
        <w:rPr>
          <w:rFonts w:hint="default" w:ascii="Times New Roman" w:hAnsi="Times New Roman" w:eastAsia="仿宋_GB2312" w:cs="Times New Roman"/>
        </w:rPr>
        <w:t xml:space="preserve">。认真学习贯彻时任省委副书记、苏州市委书记刘小涛视察太仓港指示精神，落实苏州港管委会第三次全体会议要求，紧紧围绕苏州港发展目标，坚定实施“江海中转、物流转物贸、打造上海国际航运中心重要北翼”三大战略，纵深推进苏州港改革创新、一体化发展。深度融入和服务长三角一体化、长江经济带、一带一路等国家战略，深化与上港集团、浙江海港集团、江苏省港口集团联动对接，强化合作，实现共赢。积极推动科技创新，加快互联网与港口业务的深入融合，提升太仓港整体运营质效，全力开创港口高质量发展新局面。 </w:t>
      </w:r>
    </w:p>
    <w:p w14:paraId="7D49DBC1">
      <w:pPr>
        <w:pStyle w:val="6"/>
        <w:spacing w:line="240" w:lineRule="auto"/>
        <w:ind w:firstLine="640"/>
        <w:rPr>
          <w:rFonts w:hint="default" w:ascii="Times New Roman" w:hAnsi="Times New Roman" w:cs="Times New Roman"/>
        </w:rPr>
      </w:pPr>
      <w:r>
        <w:rPr>
          <w:rFonts w:hint="default" w:ascii="Times New Roman" w:hAnsi="Times New Roman" w:eastAsia="仿宋_GB2312" w:cs="Times New Roman"/>
        </w:rPr>
        <w:t>欢迎广大干部群众对巡察整改落实情况进行监督。如有意见建议，请及时向我们反映。联系电话：0512-53186572；邮政信箱：太仓市港口开发区北环路8号港务大楼4楼（太仓港口党工委），邮编215400；电子邮箱：tcgkgwh@tcg.suzhou.gov.cn。</w:t>
      </w:r>
    </w:p>
    <w:sectPr>
      <w:footerReference r:id="rId3" w:type="default"/>
      <w:pgSz w:w="11906" w:h="16838"/>
      <w:pgMar w:top="1984" w:right="1474"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汉仪中宋简">
    <w:panose1 w:val="02010600000101010101"/>
    <w:charset w:val="80"/>
    <w:family w:val="auto"/>
    <w:pitch w:val="default"/>
    <w:sig w:usb0="800002BF" w:usb1="184F6CF8" w:usb2="00000012" w:usb3="00000000" w:csb0="0002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8B68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AC41E7">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EAC41E7">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316F74"/>
    <w:rsid w:val="001218ED"/>
    <w:rsid w:val="001B5358"/>
    <w:rsid w:val="003E3E25"/>
    <w:rsid w:val="00B30DAD"/>
    <w:rsid w:val="01C01D4A"/>
    <w:rsid w:val="07504EC1"/>
    <w:rsid w:val="0A6749FB"/>
    <w:rsid w:val="0EFF16A6"/>
    <w:rsid w:val="12AB744F"/>
    <w:rsid w:val="149A59CD"/>
    <w:rsid w:val="17481711"/>
    <w:rsid w:val="19374F8A"/>
    <w:rsid w:val="1B1418BE"/>
    <w:rsid w:val="1BC82E20"/>
    <w:rsid w:val="1D1A58FD"/>
    <w:rsid w:val="28490223"/>
    <w:rsid w:val="2D8F761E"/>
    <w:rsid w:val="2FFE314D"/>
    <w:rsid w:val="32557CF6"/>
    <w:rsid w:val="372B2789"/>
    <w:rsid w:val="381A45AC"/>
    <w:rsid w:val="3D8252C3"/>
    <w:rsid w:val="3DEA3EEC"/>
    <w:rsid w:val="41AA7E5E"/>
    <w:rsid w:val="41DD6D76"/>
    <w:rsid w:val="4AF550ED"/>
    <w:rsid w:val="523D116B"/>
    <w:rsid w:val="56186177"/>
    <w:rsid w:val="56316F74"/>
    <w:rsid w:val="59AF0BA0"/>
    <w:rsid w:val="5A87491F"/>
    <w:rsid w:val="5D663C6C"/>
    <w:rsid w:val="60AC5E39"/>
    <w:rsid w:val="628A21AA"/>
    <w:rsid w:val="62CC4571"/>
    <w:rsid w:val="63B13D50"/>
    <w:rsid w:val="66524D8D"/>
    <w:rsid w:val="686F7E78"/>
    <w:rsid w:val="6F451933"/>
    <w:rsid w:val="70213C84"/>
    <w:rsid w:val="712E63F7"/>
    <w:rsid w:val="731A6C33"/>
    <w:rsid w:val="77E837A3"/>
    <w:rsid w:val="78B96EEE"/>
    <w:rsid w:val="7B203254"/>
    <w:rsid w:val="7C471F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6">
    <w:name w:val="样式 左 行距: 最小值 28 磅"/>
    <w:basedOn w:val="1"/>
    <w:qFormat/>
    <w:uiPriority w:val="0"/>
    <w:pPr>
      <w:shd w:val="clear" w:color="auto" w:fill="FFFFFF"/>
      <w:spacing w:line="360" w:lineRule="atLeast"/>
      <w:jc w:val="left"/>
    </w:pPr>
    <w:rPr>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d2639239-fd67-4f0e-9bb9-98d8a85ddf8a</errorID>
      <errorWord>督查督促</errorWord>
      <group>L1_AI</group>
      <groupName>深度校对</groupName>
      <ability>L2_AI_Grammar</ability>
      <abilityName>语法纠错</abilityName>
      <candidateList>
        <item>督查</item>
      </candidateList>
      <explain/>
      <paraID>23B2C6D1</paraID>
      <start>83</start>
      <end>87</end>
      <status>unmodified</status>
      <modifiedWord/>
      <trackRevisions>false</trackRevisions>
    </reviewItem>
    <reviewItem>
      <errorID>48546774-8791-42f0-b730-065bc4764c44</errorID>
      <errorWord>市委巡察领导小组</errorWord>
      <group>L1_Political</group>
      <groupName>政治性问题</groupName>
      <ability>L2_Keyword</ability>
      <abilityName>固定表述</abilityName>
      <candidateList>
        <item>市委巡察工作领导小组</item>
      </candidateList>
      <explain>词汇“市委巡察工作领导小组”在特定场景下为固定表述形式，请确认此处的“市委巡察领导小组”是否存在不当。</explain>
      <paraID>23B2C6D1</paraID>
      <start>175</start>
      <end>183</end>
      <status>unmodified</status>
      <modifiedWord/>
      <trackRevisions>false</trackRevisions>
    </reviewItem>
    <reviewItem>
      <errorID>1d9fac02-6c04-45e4-8e7c-75945db96b26</errorID>
      <errorWord>每1个</errorWord>
      <group>L1_AI</group>
      <groupName>深度校对</groupName>
      <ability>L2_AI_Grammar</ability>
      <abilityName>语法纠错</abilityName>
      <candidateList>
        <item>每个</item>
      </candidateList>
      <explain/>
      <paraID>25990F75</paraID>
      <start>55</start>
      <end>58</end>
      <status>unmodified</status>
      <modifiedWord/>
      <trackRevisions>false</trackRevisions>
    </reviewItem>
    <reviewItem>
      <errorID>1ffcc48e-7ba3-43d0-bab5-0e15a807d249</errorID>
      <errorWord>每1</errorWord>
      <group>L1_AI</group>
      <groupName>深度校对</groupName>
      <ability>L2_AI_Grammar</ability>
      <abilityName>语法纠错</abilityName>
      <candidateList>
        <item>每</item>
      </candidateList>
      <explain>❶〈代〉指示代词。指全体中的任何一个或一组（偏重个体之间的共性）：把节省下来的～一分钱都用在生产上｜～两个星期开一次小组会｜～人做自己能做的事。❷〈副〉表示同一动作行为有规律地反复出现：这个月刊～逢十五日出版｜最简单的秧歌舞是～跨三步退一步。❸〈副〉每每：春秋佳日，～作郊游。❹（Měi）〈名〉姓。</explain>
      <paraID>25990F75</paraID>
      <start>61</start>
      <end>63</end>
      <status>unmodified</status>
      <modifiedWord/>
      <trackRevisions>false</trackRevisions>
    </reviewItem>
    <reviewItem>
      <errorID>82c2cb05-821b-4ccd-a1a9-e3c32e3a160c</errorID>
      <errorWord>同意的基础上</errorWord>
      <group>L1_AI</group>
      <groupName>深度校对</groupName>
      <ability>L2_AI_Word</ability>
      <abilityName>字词纠错</abilityName>
      <candidateList>
        <item>并获得同意后</item>
      </candidateList>
      <explain/>
      <paraID>25990F75</paraID>
      <start>165</start>
      <end>171</end>
      <status>unmodified</status>
      <modifiedWord/>
      <trackRevisions>false</trackRevisions>
    </reviewItem>
    <reviewItem>
      <errorID>7c321631-d8cc-4dfe-90d6-4d2829ca1abb</errorID>
      <errorWord>体</errorWord>
      <group>L1_Word</group>
      <groupName>字词问题</groupName>
      <ability>L2_Typo</ability>
      <abilityName>字词错误</abilityName>
      <candidateList>
        <item>体系</item>
      </candidateList>
      <explain/>
      <paraID>6BCB0F58</paraID>
      <start>233</start>
      <end>234</end>
      <status>unmodified</status>
      <modifiedWord/>
      <trackRevisions>false</trackRevisions>
    </reviewItem>
    <reviewItem>
      <errorID>5cc9ef4b-c8ea-4530-b534-6423fd7979ee</errorID>
      <errorWord>泄露</errorWord>
      <group>L1_Word</group>
      <groupName>字词问题</groupName>
      <ability>L2_Typo</ability>
      <abilityName>字词错误</abilityName>
      <candidateList>
        <item>泄漏</item>
      </candidateList>
      <explain/>
      <paraID>6BCB0F58</paraID>
      <start>411</start>
      <end>413</end>
      <status>unmodified</status>
      <modifiedWord/>
      <trackRevisions>false</trackRevisions>
    </reviewItem>
    <reviewItem>
      <errorID>fbf5b6f7-60d8-4c16-b95f-a839c45d6b38</errorID>
      <errorWord>隐患的468项</errorWord>
      <group>L1_AI</group>
      <groupName>深度校对</groupName>
      <ability>L2_AI_Word</ability>
      <abilityName>字词纠错</abilityName>
      <candidateList>
        <item>的468项隐患</item>
      </candidateList>
      <explain/>
      <paraID>6BCB0F58</paraID>
      <start>492</start>
      <end>499</end>
      <status>unmodified</status>
      <modifiedWord/>
      <trackRevisions>false</trackRevisions>
    </reviewItem>
    <reviewItem>
      <errorID>8b5368da-aaad-4793-a32a-92097a8e5123</errorID>
      <errorWord>》</errorWord>
      <group>L1_Word</group>
      <groupName>字词问题</groupName>
      <ability>L2_Typo</ability>
      <abilityName>字词错误</abilityName>
      <candidateList>
        <item>》作</item>
      </candidateList>
      <explain/>
      <paraID>77AC0F23</paraID>
      <start>431</start>
      <end>432</end>
      <status>unmodified</status>
      <modifiedWord/>
      <trackRevisions>false</trackRevisions>
    </reviewItem>
    <reviewItem>
      <errorID>69f0eaff-4c04-4a69-9ae8-d0e39d5f30b9</errorID>
      <errorWord>-</errorWord>
      <group>L1_Format</group>
      <groupName>格式问题</groupName>
      <ability>L2_HalfPunc</ability>
      <abilityName>全半角检查</abilityName>
      <candidateList>
        <item>－</item>
      </candidateList>
      <explain>文本全半角错误。</explain>
      <paraID>77AC0F23</paraID>
      <start>508</start>
      <end>509</end>
      <status>unmodified</status>
      <modifiedWord/>
      <trackRevisions>false</trackRevisions>
    </reviewItem>
    <reviewItem>
      <errorID>98e32f4c-4a69-4a7f-bcf2-1386027d6abb</errorID>
      <errorWord>-</errorWord>
      <group>L1_Format</group>
      <groupName>格式问题</groupName>
      <ability>L2_HalfPunc</ability>
      <abilityName>全半角检查</abilityName>
      <candidateList>
        <item>－</item>
      </candidateList>
      <explain>文本全半角错误。</explain>
      <paraID>77AC0F23</paraID>
      <start>511</start>
      <end>512</end>
      <status>unmodified</status>
      <modifiedWord/>
      <trackRevisions>false</trackRevisions>
    </reviewItem>
    <reviewItem>
      <errorID>33620e6f-8a2f-46b3-a6a2-b53caec6f8f5</errorID>
      <errorWord>-</errorWord>
      <group>L1_Format</group>
      <groupName>格式问题</groupName>
      <ability>L2_HalfPunc</ability>
      <abilityName>全半角检查</abilityName>
      <candidateList>
        <item>－</item>
      </candidateList>
      <explain>文本全半角错误。</explain>
      <paraID>77AC0F23</paraID>
      <start>514</start>
      <end>515</end>
      <status>unmodified</status>
      <modifiedWord/>
      <trackRevisions>false</trackRevisions>
    </reviewItem>
    <reviewItem>
      <errorID>887efdf4-2c6c-4458-88e3-8a3dc819f94d</errorID>
      <errorWord>，提速</errorWord>
      <group>L1_AI</group>
      <groupName>深度校对</groupName>
      <ability>L2_AI_Grammar</ability>
      <abilityName>语法纠错</abilityName>
      <candidateList>
        <item>，</item>
      </candidateList>
      <explain/>
      <paraID>6263D721</paraID>
      <start>11</start>
      <end>14</end>
      <status>unmodified</status>
      <modifiedWord/>
      <trackRevisions>false</trackRevisions>
    </reviewItem>
    <reviewItem>
      <errorID>c6263fbc-ec6a-47d0-acf6-236124900715</errorID>
      <errorWord>雾</errorWord>
      <group>L1_AI</group>
      <groupName>深度校对</groupName>
      <ability>L2_AI_Grammar</ability>
      <abilityName>语法纠错</abilityName>
      <candidateList>
        <item>因雾</item>
      </candidateList>
      <explain/>
      <paraID>6263D721</paraID>
      <start>230</start>
      <end>231</end>
      <status>unmodified</status>
      <modifiedWord/>
      <trackRevisions>false</trackRevisions>
    </reviewItem>
    <reviewItem>
      <errorID>8be2d21e-73ca-422f-a55d-614fc7c42e5b</errorID>
      <errorWord>造成的</errorWord>
      <group>L1_AI</group>
      <groupName>深度校对</groupName>
      <ability>L2_AI_Grammar</ability>
      <abilityName>语法纠错</abilityName>
      <candidateList>
        <item>造成</item>
      </candidateList>
      <explain/>
      <paraID>6263D721</paraID>
      <start>244</start>
      <end>247</end>
      <status>unmodified</status>
      <modifiedWord/>
      <trackRevisions>false</trackRevisions>
    </reviewItem>
    <reviewItem>
      <errorID>2c3e0c91-660e-408f-8f0a-4d8023ae95ee</errorID>
      <errorWord>连锁</errorWord>
      <group>L1_Word</group>
      <groupName>字词问题</groupName>
      <ability>L2_Typo</ability>
      <abilityName>字词错误</abilityName>
      <candidateList>
        <item>联锁</item>
      </candidateList>
      <explain>存在发音相同字词的误用。</explain>
      <paraID>5A13815E</paraID>
      <start>113</start>
      <end>115</end>
      <status>unmodified</status>
      <modifiedWord/>
      <trackRevisions>false</trackRevisions>
    </reviewItem>
    <reviewItem>
      <errorID>c95d6885-55bb-47cb-8316-15ec87703bc5</errorID>
      <errorWord>使用</errorWord>
      <group>L1_Word</group>
      <groupName>字词问题</groupName>
      <ability>L2_Typo</ability>
      <abilityName>字词错误</abilityName>
      <candidateList>
        <item>采取</item>
      </candidateList>
      <explain>“使用～措施”搭配不当，建议修改为“采取～措施”。</explain>
      <paraID>5A13815E</paraID>
      <start>602</start>
      <end>604</end>
      <status>unmodified</status>
      <modifiedWord/>
      <trackRevisions>false</trackRevisions>
    </reviewItem>
    <reviewItem>
      <errorID>6c6f97fa-f3d7-4776-becb-2180c1593007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5D096490</paraID>
      <start>76</start>
      <end>77</end>
      <status>unmodified</status>
      <modifiedWord/>
      <trackRevisions>false</trackRevisions>
    </reviewItem>
    <reviewItem>
      <errorID>8cd93ccc-7be1-40a6-bf6b-2a2021d56891</errorID>
      <errorWord>-</errorWord>
      <group>L1_Format</group>
      <groupName>格式问题</groupName>
      <ability>L2_HalfPunc</ability>
      <abilityName>全半角检查</abilityName>
      <candidateList>
        <item>－</item>
      </candidateList>
      <explain>文本全半角错误。</explain>
      <paraID>5D096490</paraID>
      <start>409</start>
      <end>410</end>
      <status>unmodified</status>
      <modifiedWord/>
      <trackRevisions>false</trackRevisions>
    </reviewItem>
    <reviewItem>
      <errorID>02f6b4fe-cfae-452f-8e0e-e679802698c3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5D096490</paraID>
      <start>455</start>
      <end>456</end>
      <status>unmodified</status>
      <modifiedWord/>
      <trackRevisions>false</trackRevisions>
    </reviewItem>
    <reviewItem>
      <errorID>29a7248b-4773-481f-a04c-057048224400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5D096490</paraID>
      <start>520</start>
      <end>521</end>
      <status>unmodified</status>
      <modifiedWord/>
      <trackRevisions>false</trackRevisions>
    </reviewItem>
    <reviewItem>
      <errorID>122ba8cc-631f-4d9c-91e0-6daeec1ebb0f</errorID>
      <errorWord>两</errorWord>
      <group>L1_Word</group>
      <groupName>字词问题</groupName>
      <ability>L2_Typo</ability>
      <abilityName>字词错误</abilityName>
      <candidateList>
        <item>两个</item>
      </candidateList>
      <explain/>
      <paraID>30FF63A6</paraID>
      <start>662</start>
      <end>663</end>
      <status>unmodified</status>
      <modifiedWord/>
      <trackRevisions>false</trackRevisions>
    </reviewItem>
    <reviewItem>
      <errorID>f33adc50-1cae-49dd-9bff-76ccf6b141b5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30FF63A6</paraID>
      <start>811</start>
      <end>812</end>
      <status>unmodified</status>
      <modifiedWord/>
      <trackRevisions>false</trackRevisions>
    </reviewItem>
    <reviewItem>
      <errorID>88f487fe-2082-48da-ac85-6c9032670b8e</errorID>
      <errorWord>加强</errorWord>
      <group>L1_Word</group>
      <groupName>字词问题</groupName>
      <ability>L2_Typo</ability>
      <abilityName>字词错误</abilityName>
      <candidateList>
        <item>加大</item>
      </candidateList>
      <explain>“加强～力度”搭配不当，建议修改为“加大～力度”。</explain>
      <paraID>30FF63A6</paraID>
      <start>830</start>
      <end>832</end>
      <status>unmodified</status>
      <modifiedWord/>
      <trackRevisions>false</trackRevisions>
    </reviewItem>
    <reviewItem>
      <errorID>dd38492d-f643-4252-9fa7-95f5e5eff18b</errorID>
      <errorWord>加强</errorWord>
      <group>L1_Word</group>
      <groupName>字词问题</groupName>
      <ability>L2_Typo</ability>
      <abilityName>字词错误</abilityName>
      <candidateList>
        <item>加大</item>
      </candidateList>
      <explain>“加强～力度”搭配不当，建议修改为“加大～力度”。</explain>
      <paraID>200440B3</paraID>
      <start>496</start>
      <end>498</end>
      <status>unmodified</status>
      <modifiedWord/>
      <trackRevisions>false</trackRevisions>
    </reviewItem>
    <reviewItem>
      <errorID>5252eb7f-b7db-490c-93ef-50e724989450</errorID>
      <errorWord>论</errorWord>
      <group>L1_Word</group>
      <groupName>字词问题</groupName>
      <ability>L2_Typo</ability>
      <abilityName>字词错误</abilityName>
      <candidateList>
        <item>论和</item>
      </candidateList>
      <explain/>
      <paraID>674CD441</paraID>
      <start>53</start>
      <end>54</end>
      <status>unmodified</status>
      <modifiedWord/>
      <trackRevisions>false</trackRevisions>
    </reviewItem>
    <reviewItem>
      <errorID>b5b4845f-ca38-4c83-9cd0-751f456947f2</errorID>
      <errorWord>1-10万</errorWord>
      <group>L1_Knowledge</group>
      <groupName>知识性问题</groupName>
      <ability>L2_Knowledge</ability>
      <abilityName>其他知识</abilityName>
      <candidateList>
        <item>1万-10万</item>
      </candidateList>
      <explain>“1-10万”中的单位“万”仅出现在后一个数字上，容易引起歧义；根据《现代汉语标点符号数字用法规范手册》，数字表示范围两边需要使用统一的格式。</explain>
      <paraID>674CD441</paraID>
      <start>276</start>
      <end>281</end>
      <status>unmodified</status>
      <modifiedWord/>
      <trackRevisions>false</trackRevisions>
    </reviewItem>
    <reviewItem>
      <errorID>d2a41255-f602-49df-b050-aa316eee025f</errorID>
      <errorWord>港口法</errorWord>
      <group>L1_Knowledge</group>
      <groupName>知识性问题</groupName>
      <ability>L2_Knowledge</ability>
      <abilityName>其他知识</abilityName>
      <candidateList>
        <item>中华人民共和国港口法</item>
      </candidateList>
      <explain>当前法律法规名称使用简称，请注意是否应当使用全称。</explain>
      <paraID>2559FE11</paraID>
      <start>12</start>
      <end>15</end>
      <status>unmodified</status>
      <modifiedWord/>
      <trackRevisions>false</trackRevisions>
    </reviewItem>
    <reviewItem>
      <errorID>6d5b034c-deb6-4571-a8a8-cf73e405c44e</errorID>
      <errorWord>，</errorWord>
      <group>L1_Word</group>
      <groupName>字词问题</groupName>
      <ability>L2_Typo</ability>
      <abilityName>字词错误</abilityName>
      <candidateList>
        <item>，将</item>
      </candidateList>
      <explain/>
      <paraID>2559FE11</paraID>
      <start>270</start>
      <end>271</end>
      <status>unmodified</status>
      <modifiedWord/>
      <trackRevisions>false</trackRevisions>
    </reviewItem>
    <reviewItem>
      <errorID>ff5c64a3-d659-43bd-8591-d91c04c0cc6e</errorID>
      <errorWord>加强</errorWord>
      <group>L1_Word</group>
      <groupName>字词问题</groupName>
      <ability>L2_Typo</ability>
      <abilityName>字词错误</abilityName>
      <candidateList>
        <item>加大</item>
      </candidateList>
      <explain>“加强～力度”搭配不当，建议修改为“加大～力度”。</explain>
      <paraID>2559FE11</paraID>
      <start>509</start>
      <end>511</end>
      <status>unmodified</status>
      <modifiedWord/>
      <trackRevisions>false</trackRevisions>
    </reviewItem>
    <reviewItem>
      <errorID>a1511ca1-4de0-41a8-b3f0-6b205d7fc404</errorID>
      <errorWord>对帐</errorWord>
      <group>L1_Word</group>
      <groupName>字词问题</groupName>
      <ability>L2_Typo</ability>
      <abilityName>字词错误</abilityName>
      <candidateList>
        <item>对账</item>
      </candidateList>
      <explain/>
      <paraID>74D24A20</paraID>
      <start>148</start>
      <end>150</end>
      <status>unmodified</status>
      <modifiedWord/>
      <trackRevisions>false</trackRevisions>
    </reviewItem>
    <reviewItem>
      <errorID>71c50922-7e28-4a73-8b50-7c158787f32d</errorID>
      <errorWord>用好问责武器</errorWord>
      <group>L1_Political</group>
      <groupName>政治性问题</groupName>
      <ability>L2_Keyword</ability>
      <abilityName>固定表述</abilityName>
      <candidateList>
        <item>用好问责利器</item>
      </candidateList>
      <explain>词汇“用好问责利器”在特定场景下为固定表述形式，请确认此处的“用好问责武器”是否存在不当。</explain>
      <paraID>74D24A20</paraID>
      <start>193</start>
      <end>199</end>
      <status>unmodified</status>
      <modifiedWord/>
      <trackRevisions>false</trackRevisions>
    </reviewItem>
    <reviewItem>
      <errorID>a8f1ace9-8d60-4c74-9577-1ef879687a0a</errorID>
      <errorWord>整改、敷衍整改、虚假整改</errorWord>
      <group>L1_Political</group>
      <groupName>政治性问题</groupName>
      <ability>L2_Keyword</ability>
      <abilityName>固定表述</abilityName>
      <candidateList>
        <item>整改不力、敷衍整改、虚假整改</item>
      </candidateList>
      <explain>词汇“整改不力、敷衍整改、虚假整改”在特定场景下为固定表述形式，请确认此处的“整改、敷衍整改、虚假整改”是否存在不当。</explain>
      <paraID>74D24A20</paraID>
      <start>208</start>
      <end>220</end>
      <status>unmodified</status>
      <modifiedWord/>
      <trackRevisions>false</trackRevisions>
    </reviewItem>
    <reviewItem>
      <errorID>196e243f-bccc-4bcb-aca4-269df33f5fdf</errorID>
      <errorWord>政治纪律政治规矩</errorWord>
      <group>L1_Political</group>
      <groupName>政治性问题</groupName>
      <ability>L2_Keyword</ability>
      <abilityName>固定表述</abilityName>
      <candidateList>
        <item>党的政治纪律和政治规矩</item>
      </candidateList>
      <explain>词汇“党的政治纪律和政治规矩”在特定场景下为固定表述形式，请确认此处的“政治纪律政治规矩”是否存在不当。</explain>
      <paraID>2700564C</paraID>
      <start>43</start>
      <end>51</end>
      <status>unmodified</status>
      <modifiedWord/>
      <trackRevisions>false</trackRevisions>
    </reviewItem>
    <reviewItem>
      <errorID>021bffa9-a21a-44a2-804e-b546c393ff6f</errorID>
      <errorWord>各</errorWord>
      <group>L1_Word</group>
      <groupName>字词问题</groupName>
      <ability>L2_Typo</ability>
      <abilityName>字词错误</abilityName>
      <candidateList>
        <item>各党</item>
      </candidateList>
      <explain/>
      <paraID>2700564C</paraID>
      <start>220</start>
      <end>221</end>
      <status>unmodified</status>
      <modifiedWord/>
      <trackRevisions>false</trackRevisions>
    </reviewItem>
    <reviewItem>
      <errorID>a42ace5c-7774-47a1-8fa7-4f6b5a4be5c9</errorID>
      <errorWord>物流转</errorWord>
      <group>L1_Word</group>
      <groupName>字词问题</groupName>
      <ability>L2_Typo</ability>
      <abilityName>字词错误</abilityName>
      <candidateList>
        <item>物流</item>
      </candidateList>
      <explain/>
      <paraID>55717CF1</paraID>
      <start>96</start>
      <end>99</end>
      <status>unmodified</status>
      <modifiedWord/>
      <trackRevisions>false</trackRevisions>
    </reviewItem>
    <reviewItem>
      <errorID>8001fc02-35fe-4403-ad6e-99d75ef5fc54</errorID>
      <errorWord>一带一路</errorWord>
      <group>L1_Political</group>
      <groupName>政治性问题</groupName>
      <ability>L2_Keyword</ability>
      <abilityName>固定表述</abilityName>
      <candidateList>
        <item>“一带一路”</item>
      </candidateList>
      <explain>注意检查当前固定表述标点是否使用规范。</explain>
      <paraID>55717CF1</paraID>
      <start>160</start>
      <end>164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1dc3a24-0d8e-425b-be25-50c30da5e559}">
  <ds:schemaRefs/>
</ds:datastoreItem>
</file>

<file path=docProps/app.xml><?xml version="1.0" encoding="utf-8"?>
<Properties xmlns="http://schemas.openxmlformats.org/officeDocument/2006/extended-properties" xmlns:vt="http://schemas.openxmlformats.org/officeDocument/2006/docPropsVTypes">
  <Template>Normal.dotm</Template>
  <Pages>19</Pages>
  <Words>2645</Words>
  <Characters>2698</Characters>
  <Lines>80</Lines>
  <Paragraphs>22</Paragraphs>
  <TotalTime>10</TotalTime>
  <ScaleCrop>false</ScaleCrop>
  <LinksUpToDate>false</LinksUpToDate>
  <CharactersWithSpaces>2698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2025-11-07T09:05:00Z</dcterms:created>
  <dc:creator>GK.xiejh</dc:creator>
  <cp:lastModifiedBy>1</cp:lastModifiedBy>
  <cp:lastPrinted>2025-11-17T07:20:48Z</cp:lastPrinted>
  <dcterms:modified xsi:type="dcterms:W3CDTF">2025-11-17T07:20:51Z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ACBA9F4A44CC4C7988281EF53F95C09C_13</vt:lpwstr>
  </property>
  <property fmtid="{D5CDD505-2E9C-101B-9397-08002B2CF9AE}" pid="4" name="KSOTemplateDocerSaveRecord">
    <vt:lpwstr>eyJoZGlkIjoiMDg0YTE1ZDU0NTg5YzA1YzQ3N2Q1MTUwZGM4M2IzNzMiLCJ1c2VySWQiOiI0MjI0MTk1MDkifQ==</vt:lpwstr>
  </property>
</Properties>
</file>