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C74F">
      <w:pPr>
        <w:spacing w:line="600" w:lineRule="exact"/>
        <w:jc w:val="center"/>
        <w:rPr>
          <w:rFonts w:hint="eastAsia" w:eastAsia="方正小标宋简体"/>
          <w:sz w:val="44"/>
          <w:szCs w:val="44"/>
        </w:rPr>
      </w:pPr>
      <w:r>
        <w:rPr>
          <w:rFonts w:hint="eastAsia" w:eastAsia="方正小标宋简体"/>
          <w:sz w:val="44"/>
          <w:szCs w:val="44"/>
        </w:rPr>
        <w:t>关于</w:t>
      </w:r>
      <w:r>
        <w:rPr>
          <w:rFonts w:hint="eastAsia" w:eastAsia="方正小标宋简体"/>
          <w:sz w:val="44"/>
          <w:szCs w:val="44"/>
          <w:lang w:eastAsia="zh-CN"/>
        </w:rPr>
        <w:t>公布</w:t>
      </w:r>
      <w:r>
        <w:rPr>
          <w:rFonts w:hint="eastAsia" w:eastAsia="方正小标宋简体"/>
          <w:sz w:val="44"/>
          <w:szCs w:val="44"/>
        </w:rPr>
        <w:t>20</w:t>
      </w:r>
      <w:r>
        <w:rPr>
          <w:rFonts w:hint="eastAsia" w:eastAsia="方正小标宋简体"/>
          <w:sz w:val="44"/>
          <w:szCs w:val="44"/>
          <w:lang w:val="en-US" w:eastAsia="zh-CN"/>
        </w:rPr>
        <w:t>26</w:t>
      </w:r>
      <w:r>
        <w:rPr>
          <w:rFonts w:hint="eastAsia" w:eastAsia="方正小标宋简体"/>
          <w:sz w:val="44"/>
          <w:szCs w:val="44"/>
        </w:rPr>
        <w:t>年度</w:t>
      </w:r>
      <w:r>
        <w:rPr>
          <w:rFonts w:hint="eastAsia" w:eastAsia="方正小标宋简体"/>
          <w:sz w:val="44"/>
          <w:szCs w:val="44"/>
          <w:lang w:eastAsia="zh-CN"/>
        </w:rPr>
        <w:t>太仓港</w:t>
      </w:r>
      <w:r>
        <w:rPr>
          <w:rFonts w:hint="eastAsia" w:eastAsia="方正小标宋简体"/>
          <w:sz w:val="44"/>
          <w:szCs w:val="44"/>
        </w:rPr>
        <w:t>重点货物</w:t>
      </w:r>
    </w:p>
    <w:p w14:paraId="555DF81D">
      <w:pPr>
        <w:spacing w:line="600" w:lineRule="exact"/>
        <w:jc w:val="center"/>
        <w:rPr>
          <w:rFonts w:hint="eastAsia" w:eastAsia="方正小标宋简体"/>
          <w:sz w:val="44"/>
          <w:szCs w:val="44"/>
          <w:lang w:eastAsia="zh-CN"/>
        </w:rPr>
      </w:pPr>
      <w:r>
        <w:rPr>
          <w:rFonts w:hint="eastAsia" w:eastAsia="方正小标宋简体"/>
          <w:sz w:val="44"/>
          <w:szCs w:val="44"/>
        </w:rPr>
        <w:t>装载源头单位</w:t>
      </w:r>
      <w:r>
        <w:rPr>
          <w:rFonts w:hint="eastAsia" w:eastAsia="方正小标宋简体"/>
          <w:sz w:val="44"/>
          <w:szCs w:val="44"/>
          <w:lang w:eastAsia="zh-CN"/>
        </w:rPr>
        <w:t>的通告</w:t>
      </w:r>
    </w:p>
    <w:p w14:paraId="3B837A0F">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方正小标宋简体"/>
          <w:sz w:val="44"/>
          <w:szCs w:val="44"/>
        </w:rPr>
      </w:pPr>
    </w:p>
    <w:p w14:paraId="7E8DA020">
      <w:pPr>
        <w:adjustRightInd w:val="0"/>
        <w:snapToGrid w:val="0"/>
        <w:spacing w:line="570" w:lineRule="exact"/>
        <w:ind w:firstLine="640" w:firstLineChars="200"/>
        <w:rPr>
          <w:rFonts w:hint="eastAsia"/>
          <w:color w:val="191919"/>
          <w:kern w:val="0"/>
          <w:szCs w:val="32"/>
          <w:lang w:eastAsia="zh-CN"/>
        </w:rPr>
      </w:pPr>
      <w:r>
        <w:rPr>
          <w:rFonts w:hint="eastAsia"/>
          <w:color w:val="191919"/>
          <w:kern w:val="0"/>
          <w:szCs w:val="32"/>
        </w:rPr>
        <w:t>为</w:t>
      </w:r>
      <w:r>
        <w:rPr>
          <w:rFonts w:hint="eastAsia"/>
          <w:color w:val="191919"/>
          <w:kern w:val="0"/>
          <w:szCs w:val="32"/>
          <w:lang w:eastAsia="zh-CN"/>
        </w:rPr>
        <w:t>切实加强</w:t>
      </w:r>
      <w:r>
        <w:rPr>
          <w:rFonts w:hint="eastAsia"/>
          <w:color w:val="191919"/>
          <w:kern w:val="0"/>
          <w:szCs w:val="32"/>
        </w:rPr>
        <w:t>太仓港</w:t>
      </w:r>
      <w:r>
        <w:rPr>
          <w:rFonts w:hint="eastAsia"/>
          <w:color w:val="191919"/>
          <w:kern w:val="0"/>
          <w:szCs w:val="32"/>
          <w:lang w:eastAsia="zh-CN"/>
        </w:rPr>
        <w:t>重点货物</w:t>
      </w:r>
      <w:r>
        <w:rPr>
          <w:rFonts w:hint="eastAsia"/>
          <w:color w:val="191919"/>
          <w:kern w:val="0"/>
          <w:szCs w:val="32"/>
        </w:rPr>
        <w:t>装载源头超限超载治理工作，</w:t>
      </w:r>
      <w:r>
        <w:rPr>
          <w:rFonts w:hint="eastAsia"/>
          <w:color w:val="191919"/>
          <w:kern w:val="0"/>
          <w:szCs w:val="32"/>
          <w:lang w:eastAsia="zh-CN"/>
        </w:rPr>
        <w:t>从源头遏制违法超限超载行为发生，</w:t>
      </w:r>
      <w:r>
        <w:rPr>
          <w:rFonts w:hint="eastAsia"/>
          <w:color w:val="191919"/>
          <w:kern w:val="0"/>
          <w:szCs w:val="32"/>
        </w:rPr>
        <w:t>根据交通运输部、工业和信息化部、公安部、工商总局、质检总局《关于进一步做好货车非法改装和超限超载治理工作的意见》（交公路发〔2016〕124号）《交通运输部关于进一步加强全国治理车辆超限超载工作的通知》（交公路函〔2020〕298号）《</w:t>
      </w:r>
      <w:r>
        <w:rPr>
          <w:rFonts w:hint="eastAsia"/>
          <w:color w:val="191919"/>
          <w:kern w:val="0"/>
          <w:szCs w:val="32"/>
          <w:lang w:eastAsia="zh-CN"/>
        </w:rPr>
        <w:t>江苏</w:t>
      </w:r>
      <w:r>
        <w:rPr>
          <w:rFonts w:hint="eastAsia"/>
          <w:color w:val="191919"/>
          <w:kern w:val="0"/>
          <w:szCs w:val="32"/>
        </w:rPr>
        <w:t>省安委会关于印发从严开展公路超限超载运输治理工作实施方案的通知》（苏安〔2019〕26号）和《</w:t>
      </w:r>
      <w:r>
        <w:rPr>
          <w:rFonts w:hint="eastAsia"/>
          <w:color w:val="191919"/>
          <w:kern w:val="0"/>
          <w:szCs w:val="32"/>
          <w:lang w:eastAsia="zh-CN"/>
        </w:rPr>
        <w:t>江苏</w:t>
      </w:r>
      <w:r>
        <w:rPr>
          <w:rFonts w:hint="eastAsia"/>
          <w:color w:val="191919"/>
          <w:kern w:val="0"/>
          <w:szCs w:val="32"/>
        </w:rPr>
        <w:t>省治理车辆超限超载工作领导小组办公室关于加强道路货物装载源头超限超载治理及实施货运运单制度的指导意见》</w:t>
      </w:r>
      <w:r>
        <w:rPr>
          <w:rFonts w:hint="eastAsia"/>
          <w:color w:val="191919"/>
          <w:kern w:val="0"/>
          <w:szCs w:val="32"/>
          <w:lang w:eastAsia="zh-CN"/>
        </w:rPr>
        <w:t>（</w:t>
      </w:r>
      <w:r>
        <w:rPr>
          <w:rFonts w:hint="eastAsia"/>
          <w:color w:val="191919"/>
          <w:kern w:val="0"/>
          <w:szCs w:val="32"/>
        </w:rPr>
        <w:t>苏治超办〔2019〕18号</w:t>
      </w:r>
      <w:r>
        <w:rPr>
          <w:rFonts w:hint="eastAsia"/>
          <w:color w:val="191919"/>
          <w:kern w:val="0"/>
          <w:szCs w:val="32"/>
          <w:lang w:eastAsia="zh-CN"/>
        </w:rPr>
        <w:t>）等</w:t>
      </w:r>
      <w:r>
        <w:rPr>
          <w:rFonts w:hint="eastAsia"/>
          <w:color w:val="191919"/>
          <w:kern w:val="0"/>
          <w:szCs w:val="32"/>
        </w:rPr>
        <w:t>文件</w:t>
      </w:r>
      <w:r>
        <w:rPr>
          <w:rFonts w:hint="eastAsia"/>
          <w:color w:val="191919"/>
          <w:kern w:val="0"/>
          <w:szCs w:val="32"/>
          <w:lang w:eastAsia="zh-CN"/>
        </w:rPr>
        <w:t>规定，现将太仓鑫海码头有限公司等</w:t>
      </w:r>
      <w:r>
        <w:rPr>
          <w:rFonts w:hint="eastAsia"/>
          <w:color w:val="191919"/>
          <w:kern w:val="0"/>
          <w:szCs w:val="32"/>
          <w:lang w:val="en-US" w:eastAsia="zh-CN"/>
        </w:rPr>
        <w:t>8家重点货物装载源头单位</w:t>
      </w:r>
      <w:r>
        <w:rPr>
          <w:rFonts w:hint="eastAsia"/>
          <w:color w:val="191919"/>
          <w:kern w:val="0"/>
          <w:szCs w:val="32"/>
          <w:lang w:eastAsia="zh-CN"/>
        </w:rPr>
        <w:t>对外界公布，</w:t>
      </w:r>
      <w:r>
        <w:rPr>
          <w:rFonts w:hint="eastAsia"/>
          <w:color w:val="191919"/>
          <w:kern w:val="0"/>
          <w:szCs w:val="32"/>
        </w:rPr>
        <w:t>请社会各界</w:t>
      </w:r>
      <w:r>
        <w:rPr>
          <w:rFonts w:hint="eastAsia"/>
          <w:color w:val="191919"/>
          <w:kern w:val="0"/>
          <w:szCs w:val="32"/>
          <w:lang w:eastAsia="zh-CN"/>
        </w:rPr>
        <w:t>予以</w:t>
      </w:r>
      <w:r>
        <w:rPr>
          <w:rFonts w:hint="eastAsia"/>
          <w:color w:val="191919"/>
          <w:kern w:val="0"/>
          <w:szCs w:val="32"/>
        </w:rPr>
        <w:t>监督</w:t>
      </w:r>
      <w:r>
        <w:rPr>
          <w:rFonts w:hint="eastAsia"/>
          <w:color w:val="191919"/>
          <w:kern w:val="0"/>
          <w:szCs w:val="32"/>
          <w:lang w:eastAsia="zh-CN"/>
        </w:rPr>
        <w:t>。监督举报</w:t>
      </w:r>
      <w:r>
        <w:rPr>
          <w:rFonts w:hint="eastAsia"/>
          <w:color w:val="191919"/>
          <w:kern w:val="0"/>
          <w:szCs w:val="32"/>
          <w:lang w:val="en-US" w:eastAsia="zh-CN"/>
        </w:rPr>
        <w:t>电话：0512-53186529。</w:t>
      </w:r>
    </w:p>
    <w:p w14:paraId="42013A80">
      <w:pPr>
        <w:spacing w:line="540" w:lineRule="exact"/>
        <w:ind w:firstLine="640" w:firstLineChars="200"/>
        <w:rPr>
          <w:rFonts w:hint="eastAsia"/>
          <w:color w:val="191919"/>
          <w:kern w:val="0"/>
          <w:szCs w:val="32"/>
          <w:lang w:val="en-US" w:eastAsia="zh-CN"/>
        </w:rPr>
      </w:pPr>
      <w:r>
        <w:rPr>
          <w:rFonts w:hint="eastAsia"/>
          <w:color w:val="191919"/>
          <w:kern w:val="0"/>
          <w:szCs w:val="32"/>
          <w:lang w:val="en-US" w:eastAsia="zh-CN"/>
        </w:rPr>
        <w:t>特此通告。</w:t>
      </w:r>
    </w:p>
    <w:p w14:paraId="26757E73">
      <w:pPr>
        <w:spacing w:line="540" w:lineRule="exact"/>
        <w:rPr>
          <w:color w:val="191919"/>
          <w:kern w:val="0"/>
          <w:szCs w:val="32"/>
        </w:rPr>
      </w:pPr>
    </w:p>
    <w:p w14:paraId="5F4DD280">
      <w:pPr>
        <w:spacing w:line="540" w:lineRule="exact"/>
        <w:ind w:firstLine="640" w:firstLineChars="200"/>
        <w:rPr>
          <w:color w:val="191919"/>
          <w:kern w:val="0"/>
          <w:szCs w:val="32"/>
        </w:rPr>
      </w:pPr>
      <w:r>
        <w:rPr>
          <w:rFonts w:hint="eastAsia"/>
          <w:color w:val="191919"/>
          <w:kern w:val="0"/>
          <w:szCs w:val="32"/>
        </w:rPr>
        <w:t>附件：2</w:t>
      </w:r>
      <w:r>
        <w:rPr>
          <w:rFonts w:hint="eastAsia"/>
          <w:color w:val="191919"/>
          <w:kern w:val="0"/>
          <w:szCs w:val="32"/>
          <w:lang w:val="en-US" w:eastAsia="zh-CN"/>
        </w:rPr>
        <w:t>026</w:t>
      </w:r>
      <w:r>
        <w:rPr>
          <w:rFonts w:hint="eastAsia"/>
          <w:color w:val="191919"/>
          <w:kern w:val="0"/>
          <w:szCs w:val="32"/>
        </w:rPr>
        <w:t>年度太仓港重点货物装载源头单位</w:t>
      </w:r>
    </w:p>
    <w:p w14:paraId="2E4B990F">
      <w:pPr>
        <w:spacing w:line="540" w:lineRule="exact"/>
        <w:ind w:firstLine="640" w:firstLineChars="200"/>
        <w:rPr>
          <w:color w:val="191919"/>
          <w:kern w:val="0"/>
          <w:szCs w:val="32"/>
        </w:rPr>
      </w:pPr>
      <w:r>
        <w:rPr>
          <w:rFonts w:hint="eastAsia"/>
          <w:color w:val="191919"/>
          <w:kern w:val="0"/>
          <w:szCs w:val="32"/>
        </w:rPr>
        <w:t xml:space="preserve">     </w:t>
      </w:r>
    </w:p>
    <w:p w14:paraId="0F524F45">
      <w:pPr>
        <w:spacing w:line="540" w:lineRule="exact"/>
        <w:rPr>
          <w:color w:val="191919"/>
          <w:kern w:val="0"/>
          <w:szCs w:val="32"/>
        </w:rPr>
      </w:pPr>
    </w:p>
    <w:p w14:paraId="1D0EE113">
      <w:pPr>
        <w:spacing w:line="540" w:lineRule="exact"/>
        <w:ind w:firstLine="640" w:firstLineChars="200"/>
        <w:rPr>
          <w:color w:val="191919"/>
          <w:kern w:val="0"/>
          <w:szCs w:val="32"/>
        </w:rPr>
      </w:pPr>
      <w:r>
        <w:rPr>
          <w:rFonts w:hint="eastAsia"/>
          <w:color w:val="191919"/>
          <w:kern w:val="0"/>
          <w:szCs w:val="32"/>
        </w:rPr>
        <w:t xml:space="preserve">                       江苏太仓港口管理委员会</w:t>
      </w:r>
    </w:p>
    <w:p w14:paraId="1DED53A0">
      <w:pPr>
        <w:spacing w:line="540" w:lineRule="exact"/>
        <w:ind w:firstLine="640" w:firstLineChars="200"/>
      </w:pPr>
      <w:r>
        <w:rPr>
          <w:rFonts w:hint="eastAsia"/>
          <w:color w:val="191919"/>
          <w:kern w:val="0"/>
          <w:szCs w:val="32"/>
        </w:rPr>
        <w:t xml:space="preserve">                           202</w:t>
      </w:r>
      <w:r>
        <w:rPr>
          <w:rFonts w:hint="eastAsia"/>
          <w:color w:val="191919"/>
          <w:kern w:val="0"/>
          <w:szCs w:val="32"/>
          <w:lang w:val="en-US" w:eastAsia="zh-CN"/>
        </w:rPr>
        <w:t>6</w:t>
      </w:r>
      <w:r>
        <w:rPr>
          <w:rFonts w:hint="eastAsia"/>
          <w:color w:val="191919"/>
          <w:kern w:val="0"/>
          <w:szCs w:val="32"/>
        </w:rPr>
        <w:t>年</w:t>
      </w:r>
      <w:r>
        <w:rPr>
          <w:rFonts w:hint="eastAsia"/>
          <w:color w:val="191919"/>
          <w:kern w:val="0"/>
          <w:szCs w:val="32"/>
          <w:lang w:val="en-US" w:eastAsia="zh-CN"/>
        </w:rPr>
        <w:t>5</w:t>
      </w:r>
      <w:r>
        <w:rPr>
          <w:rFonts w:hint="eastAsia"/>
          <w:color w:val="191919"/>
          <w:kern w:val="0"/>
          <w:szCs w:val="32"/>
        </w:rPr>
        <w:t>月</w:t>
      </w:r>
      <w:r>
        <w:rPr>
          <w:rFonts w:hint="eastAsia"/>
          <w:color w:val="191919"/>
          <w:kern w:val="0"/>
          <w:szCs w:val="32"/>
          <w:lang w:val="en-US" w:eastAsia="zh-CN"/>
        </w:rPr>
        <w:t>18</w:t>
      </w:r>
      <w:r>
        <w:rPr>
          <w:rFonts w:hint="eastAsia"/>
          <w:color w:val="191919"/>
          <w:kern w:val="0"/>
          <w:szCs w:val="32"/>
        </w:rPr>
        <w:t>日</w:t>
      </w:r>
    </w:p>
    <w:p w14:paraId="7F55BCF9">
      <w:pPr>
        <w:jc w:val="left"/>
        <w:rPr>
          <w:rFonts w:hint="eastAsia" w:eastAsia="黑体"/>
          <w:color w:val="191919"/>
          <w:kern w:val="0"/>
          <w:szCs w:val="32"/>
          <w:lang w:eastAsia="zh-CN"/>
        </w:rPr>
      </w:pPr>
      <w:r>
        <w:rPr>
          <w:rFonts w:eastAsia="黑体"/>
          <w:color w:val="191919"/>
          <w:kern w:val="0"/>
          <w:szCs w:val="32"/>
        </w:rPr>
        <w:t>附件</w:t>
      </w:r>
      <w:r>
        <w:rPr>
          <w:rFonts w:hint="eastAsia" w:eastAsia="黑体"/>
          <w:color w:val="191919"/>
          <w:kern w:val="0"/>
          <w:szCs w:val="32"/>
          <w:lang w:eastAsia="zh-CN"/>
        </w:rPr>
        <w:t>：</w:t>
      </w:r>
    </w:p>
    <w:p w14:paraId="548C092E">
      <w:pPr>
        <w:jc w:val="center"/>
        <w:rPr>
          <w:rFonts w:ascii="方正小标宋简体" w:eastAsia="方正小标宋简体"/>
          <w:color w:val="191919"/>
          <w:kern w:val="0"/>
          <w:sz w:val="44"/>
          <w:szCs w:val="44"/>
        </w:rPr>
      </w:pPr>
      <w:r>
        <w:rPr>
          <w:rFonts w:hint="eastAsia" w:ascii="方正小标宋简体" w:eastAsia="方正小标宋简体"/>
          <w:color w:val="191919"/>
          <w:kern w:val="0"/>
          <w:sz w:val="44"/>
          <w:szCs w:val="44"/>
        </w:rPr>
        <w:t>202</w:t>
      </w:r>
      <w:r>
        <w:rPr>
          <w:rFonts w:hint="eastAsia" w:ascii="方正小标宋简体" w:eastAsia="方正小标宋简体"/>
          <w:color w:val="191919"/>
          <w:kern w:val="0"/>
          <w:sz w:val="44"/>
          <w:szCs w:val="44"/>
          <w:lang w:val="en-US" w:eastAsia="zh-CN"/>
        </w:rPr>
        <w:t>6</w:t>
      </w:r>
      <w:r>
        <w:rPr>
          <w:rFonts w:hint="eastAsia" w:ascii="方正小标宋简体" w:eastAsia="方正小标宋简体"/>
          <w:color w:val="191919"/>
          <w:kern w:val="0"/>
          <w:sz w:val="44"/>
          <w:szCs w:val="44"/>
        </w:rPr>
        <w:t>年度太仓港重点货物装载源头单位</w:t>
      </w:r>
    </w:p>
    <w:p w14:paraId="19B063CF">
      <w:pPr>
        <w:ind w:firstLine="640" w:firstLineChars="200"/>
        <w:rPr>
          <w:color w:val="191919"/>
          <w:kern w:val="0"/>
          <w:szCs w:val="32"/>
        </w:rPr>
      </w:pPr>
    </w:p>
    <w:p w14:paraId="39FD384C">
      <w:pPr>
        <w:ind w:firstLine="640" w:firstLineChars="200"/>
        <w:rPr>
          <w:color w:val="000000" w:themeColor="text1"/>
          <w:kern w:val="0"/>
          <w:szCs w:val="32"/>
          <w14:textFill>
            <w14:solidFill>
              <w14:schemeClr w14:val="tx1"/>
            </w14:solidFill>
          </w14:textFill>
        </w:rPr>
      </w:pPr>
      <w:r>
        <w:rPr>
          <w:color w:val="000000" w:themeColor="text1"/>
          <w:kern w:val="0"/>
          <w:szCs w:val="32"/>
          <w14:textFill>
            <w14:solidFill>
              <w14:schemeClr w14:val="tx1"/>
            </w14:solidFill>
          </w14:textFill>
        </w:rPr>
        <w:t>1</w:t>
      </w:r>
      <w:r>
        <w:rPr>
          <w:rFonts w:hint="eastAsia"/>
          <w:color w:val="000000" w:themeColor="text1"/>
          <w:kern w:val="0"/>
          <w:szCs w:val="32"/>
          <w:lang w:val="en-US" w:eastAsia="zh-CN"/>
          <w14:textFill>
            <w14:solidFill>
              <w14:schemeClr w14:val="tx1"/>
            </w14:solidFill>
          </w14:textFill>
        </w:rPr>
        <w:t xml:space="preserve">. </w:t>
      </w:r>
      <w:r>
        <w:rPr>
          <w:color w:val="000000" w:themeColor="text1"/>
          <w:kern w:val="0"/>
          <w:szCs w:val="32"/>
          <w14:textFill>
            <w14:solidFill>
              <w14:schemeClr w14:val="tx1"/>
            </w14:solidFill>
          </w14:textFill>
        </w:rPr>
        <w:t>太仓鑫海港口开发有限公司</w:t>
      </w:r>
    </w:p>
    <w:p w14:paraId="2B6260E4">
      <w:pPr>
        <w:ind w:firstLine="640" w:firstLineChars="200"/>
        <w:rPr>
          <w:color w:val="191919"/>
          <w:kern w:val="0"/>
          <w:szCs w:val="32"/>
        </w:rPr>
      </w:pPr>
      <w:r>
        <w:rPr>
          <w:rFonts w:hint="eastAsia"/>
          <w:color w:val="191919"/>
          <w:kern w:val="0"/>
          <w:szCs w:val="32"/>
          <w:lang w:val="en-US" w:eastAsia="zh-CN"/>
        </w:rPr>
        <w:t xml:space="preserve">2. </w:t>
      </w:r>
      <w:r>
        <w:rPr>
          <w:color w:val="191919"/>
          <w:kern w:val="0"/>
          <w:szCs w:val="32"/>
        </w:rPr>
        <w:t>太仓港正和兴港集装箱码头有限公司</w:t>
      </w:r>
    </w:p>
    <w:p w14:paraId="4B869930">
      <w:pPr>
        <w:ind w:firstLine="640" w:firstLineChars="200"/>
        <w:rPr>
          <w:color w:val="191919"/>
          <w:kern w:val="0"/>
          <w:szCs w:val="32"/>
        </w:rPr>
      </w:pPr>
      <w:r>
        <w:rPr>
          <w:rFonts w:hint="eastAsia"/>
          <w:color w:val="191919"/>
          <w:kern w:val="0"/>
          <w:szCs w:val="32"/>
          <w:lang w:val="en-US" w:eastAsia="zh-CN"/>
        </w:rPr>
        <w:t xml:space="preserve">3. </w:t>
      </w:r>
      <w:r>
        <w:rPr>
          <w:color w:val="191919"/>
          <w:kern w:val="0"/>
          <w:szCs w:val="32"/>
        </w:rPr>
        <w:t>苏州现代货箱码头有限公司</w:t>
      </w:r>
    </w:p>
    <w:p w14:paraId="712C4C9F">
      <w:pPr>
        <w:ind w:firstLine="640" w:firstLineChars="200"/>
        <w:rPr>
          <w:color w:val="191919"/>
          <w:kern w:val="0"/>
          <w:szCs w:val="32"/>
        </w:rPr>
      </w:pPr>
      <w:r>
        <w:rPr>
          <w:rFonts w:hint="eastAsia"/>
          <w:color w:val="191919"/>
          <w:kern w:val="0"/>
          <w:szCs w:val="32"/>
          <w:lang w:val="en-US" w:eastAsia="zh-CN"/>
        </w:rPr>
        <w:t xml:space="preserve">4. </w:t>
      </w:r>
      <w:r>
        <w:rPr>
          <w:color w:val="191919"/>
          <w:kern w:val="0"/>
          <w:szCs w:val="32"/>
        </w:rPr>
        <w:t>太仓国际集装箱码头有限公司</w:t>
      </w:r>
    </w:p>
    <w:p w14:paraId="708B029A">
      <w:pPr>
        <w:ind w:firstLine="640" w:firstLineChars="200"/>
        <w:rPr>
          <w:color w:val="191919"/>
          <w:kern w:val="0"/>
          <w:szCs w:val="32"/>
        </w:rPr>
      </w:pPr>
      <w:r>
        <w:rPr>
          <w:rFonts w:hint="eastAsia"/>
          <w:color w:val="191919"/>
          <w:kern w:val="0"/>
          <w:szCs w:val="32"/>
          <w:lang w:val="en-US" w:eastAsia="zh-CN"/>
        </w:rPr>
        <w:t xml:space="preserve">5. </w:t>
      </w:r>
      <w:r>
        <w:rPr>
          <w:rFonts w:hint="eastAsia"/>
          <w:color w:val="191919"/>
          <w:kern w:val="0"/>
          <w:szCs w:val="32"/>
        </w:rPr>
        <w:t>太仓港正和国际集装箱码头有限公司</w:t>
      </w:r>
    </w:p>
    <w:p w14:paraId="6DB89884">
      <w:pPr>
        <w:ind w:firstLine="640" w:firstLineChars="200"/>
        <w:rPr>
          <w:color w:val="191919"/>
          <w:kern w:val="0"/>
          <w:szCs w:val="32"/>
        </w:rPr>
      </w:pPr>
      <w:r>
        <w:rPr>
          <w:rFonts w:hint="eastAsia"/>
          <w:color w:val="191919"/>
          <w:kern w:val="0"/>
          <w:szCs w:val="32"/>
          <w:lang w:val="en-US" w:eastAsia="zh-CN"/>
        </w:rPr>
        <w:t xml:space="preserve">6. </w:t>
      </w:r>
      <w:r>
        <w:rPr>
          <w:color w:val="191919"/>
          <w:kern w:val="0"/>
          <w:szCs w:val="32"/>
        </w:rPr>
        <w:t>江苏长江石油化工有限公司</w:t>
      </w:r>
    </w:p>
    <w:p w14:paraId="5A6BBF3B">
      <w:pPr>
        <w:ind w:firstLine="640" w:firstLineChars="200"/>
        <w:rPr>
          <w:color w:val="191919"/>
          <w:kern w:val="0"/>
          <w:szCs w:val="32"/>
        </w:rPr>
      </w:pPr>
      <w:r>
        <w:rPr>
          <w:rFonts w:hint="eastAsia"/>
          <w:color w:val="191919"/>
          <w:kern w:val="0"/>
          <w:szCs w:val="32"/>
          <w:lang w:val="en-US" w:eastAsia="zh-CN"/>
        </w:rPr>
        <w:t xml:space="preserve">7. </w:t>
      </w:r>
      <w:r>
        <w:rPr>
          <w:color w:val="191919"/>
          <w:kern w:val="0"/>
          <w:szCs w:val="32"/>
        </w:rPr>
        <w:t>太仓阳鸿石化码头有限公司</w:t>
      </w:r>
    </w:p>
    <w:p w14:paraId="120DD29B">
      <w:pPr>
        <w:ind w:firstLine="640" w:firstLineChars="200"/>
      </w:pPr>
      <w:r>
        <w:rPr>
          <w:rFonts w:hint="eastAsia"/>
          <w:color w:val="191919"/>
          <w:kern w:val="0"/>
          <w:szCs w:val="32"/>
          <w:lang w:val="en-US" w:eastAsia="zh-CN"/>
        </w:rPr>
        <w:t xml:space="preserve">8. </w:t>
      </w:r>
      <w:r>
        <w:rPr>
          <w:color w:val="191919"/>
          <w:kern w:val="0"/>
          <w:szCs w:val="32"/>
        </w:rPr>
        <w:t>太仓港公用集装箱作业有限公司</w:t>
      </w:r>
      <w:bookmarkStart w:id="0" w:name="_GoBack"/>
      <w:bookmarkEnd w:id="0"/>
    </w:p>
    <w:sectPr>
      <w:footerReference r:id="rId3" w:type="default"/>
      <w:footerReference r:id="rId4" w:type="even"/>
      <w:pgSz w:w="11906" w:h="16838"/>
      <w:pgMar w:top="2098" w:right="1474" w:bottom="1985" w:left="1588" w:header="851" w:footer="992" w:gutter="0"/>
      <w:cols w:space="425"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D1B879-8144-4DA1-8ABB-1037633681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2" w:fontKey="{1DDBE8B5-DFD3-45F9-90F3-14E4F5DE08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413F9">
    <w:pPr>
      <w:pStyle w:val="5"/>
      <w:framePr w:wrap="around" w:vAnchor="text" w:hAnchor="page" w:x="13216" w:y="570"/>
      <w:ind w:left="640" w:leftChars="200" w:right="640" w:rightChars="200"/>
      <w:jc w:val="right"/>
      <w:rPr>
        <w:rStyle w:val="11"/>
        <w:sz w:val="28"/>
      </w:rPr>
    </w:pPr>
    <w:r>
      <w:rPr>
        <w:rStyle w:val="11"/>
        <w:rFonts w:hint="eastAsia"/>
        <w:sz w:val="28"/>
      </w:rPr>
      <w:t>—</w:t>
    </w:r>
    <w:r>
      <w:rPr>
        <w:rStyle w:val="11"/>
        <w:rFonts w:hint="eastAsia"/>
      </w:rPr>
      <w:t xml:space="preserve"> </w:t>
    </w:r>
    <w:r>
      <w:rPr>
        <w:rStyle w:val="11"/>
        <w:sz w:val="28"/>
      </w:rPr>
      <w:fldChar w:fldCharType="begin"/>
    </w:r>
    <w:r>
      <w:rPr>
        <w:rStyle w:val="11"/>
        <w:sz w:val="28"/>
      </w:rPr>
      <w:instrText xml:space="preserve">PAGE  </w:instrText>
    </w:r>
    <w:r>
      <w:rPr>
        <w:rStyle w:val="11"/>
        <w:sz w:val="28"/>
      </w:rPr>
      <w:fldChar w:fldCharType="separate"/>
    </w:r>
    <w:r>
      <w:rPr>
        <w:rStyle w:val="11"/>
        <w:sz w:val="28"/>
      </w:rPr>
      <w:t>1</w:t>
    </w:r>
    <w:r>
      <w:rPr>
        <w:rStyle w:val="11"/>
        <w:sz w:val="28"/>
      </w:rPr>
      <w:fldChar w:fldCharType="end"/>
    </w:r>
    <w:r>
      <w:rPr>
        <w:rStyle w:val="11"/>
        <w:rFonts w:hint="eastAsia"/>
      </w:rPr>
      <w:t xml:space="preserve"> </w:t>
    </w:r>
    <w:r>
      <w:rPr>
        <w:rStyle w:val="11"/>
        <w:rFonts w:hint="eastAsia"/>
        <w:sz w:val="28"/>
      </w:rPr>
      <w:t>—</w:t>
    </w:r>
  </w:p>
  <w:p w14:paraId="3D893F8E">
    <w:pPr>
      <w:pStyle w:val="5"/>
      <w:framePr w:wrap="around" w:vAnchor="text" w:hAnchor="page" w:x="8581" w:y="1"/>
      <w:ind w:left="640" w:leftChars="200" w:right="640" w:rightChars="200"/>
      <w:jc w:val="right"/>
      <w:rPr>
        <w:rStyle w:val="11"/>
        <w:sz w:val="28"/>
      </w:rPr>
    </w:pPr>
    <w:r>
      <w:rPr>
        <w:rStyle w:val="11"/>
        <w:rFonts w:hint="eastAsia"/>
        <w:sz w:val="28"/>
      </w:rPr>
      <w:t>—</w:t>
    </w:r>
    <w:r>
      <w:rPr>
        <w:rStyle w:val="11"/>
        <w:rFonts w:hint="eastAsia"/>
      </w:rPr>
      <w:t xml:space="preserve"> </w:t>
    </w:r>
    <w:r>
      <w:rPr>
        <w:rStyle w:val="11"/>
        <w:sz w:val="28"/>
      </w:rPr>
      <w:fldChar w:fldCharType="begin"/>
    </w:r>
    <w:r>
      <w:rPr>
        <w:rStyle w:val="11"/>
        <w:sz w:val="28"/>
      </w:rPr>
      <w:instrText xml:space="preserve">PAGE  </w:instrText>
    </w:r>
    <w:r>
      <w:rPr>
        <w:rStyle w:val="11"/>
        <w:sz w:val="28"/>
      </w:rPr>
      <w:fldChar w:fldCharType="separate"/>
    </w:r>
    <w:r>
      <w:rPr>
        <w:rStyle w:val="11"/>
        <w:sz w:val="28"/>
      </w:rPr>
      <w:t>1</w:t>
    </w:r>
    <w:r>
      <w:rPr>
        <w:rStyle w:val="11"/>
        <w:sz w:val="28"/>
      </w:rPr>
      <w:fldChar w:fldCharType="end"/>
    </w:r>
    <w:r>
      <w:rPr>
        <w:rStyle w:val="11"/>
        <w:rFonts w:hint="eastAsia"/>
      </w:rPr>
      <w:t xml:space="preserve"> </w:t>
    </w:r>
    <w:r>
      <w:rPr>
        <w:rStyle w:val="11"/>
        <w:rFonts w:hint="eastAsia"/>
        <w:sz w:val="28"/>
      </w:rPr>
      <w:t>—</w:t>
    </w:r>
  </w:p>
  <w:p w14:paraId="335CD6F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43E19">
    <w:pPr>
      <w:pStyle w:val="5"/>
      <w:framePr w:wrap="around" w:vAnchor="text" w:hAnchor="page" w:x="1381" w:y="1"/>
      <w:ind w:left="640" w:leftChars="200" w:right="640" w:rightChars="200"/>
      <w:jc w:val="right"/>
      <w:rPr>
        <w:rStyle w:val="11"/>
        <w:sz w:val="28"/>
      </w:rPr>
    </w:pPr>
    <w:r>
      <w:rPr>
        <w:rStyle w:val="11"/>
        <w:rFonts w:hint="eastAsia"/>
        <w:sz w:val="28"/>
      </w:rPr>
      <w:t>—</w:t>
    </w:r>
    <w:r>
      <w:rPr>
        <w:rStyle w:val="11"/>
        <w:rFonts w:hint="eastAsia"/>
      </w:rPr>
      <w:t xml:space="preserve"> </w:t>
    </w:r>
    <w:r>
      <w:rPr>
        <w:rStyle w:val="11"/>
        <w:sz w:val="28"/>
      </w:rPr>
      <w:fldChar w:fldCharType="begin"/>
    </w:r>
    <w:r>
      <w:rPr>
        <w:rStyle w:val="11"/>
        <w:sz w:val="28"/>
      </w:rPr>
      <w:instrText xml:space="preserve">PAGE  </w:instrText>
    </w:r>
    <w:r>
      <w:rPr>
        <w:rStyle w:val="11"/>
        <w:sz w:val="28"/>
      </w:rPr>
      <w:fldChar w:fldCharType="separate"/>
    </w:r>
    <w:r>
      <w:rPr>
        <w:rStyle w:val="11"/>
        <w:sz w:val="28"/>
      </w:rPr>
      <w:t>2</w:t>
    </w:r>
    <w:r>
      <w:rPr>
        <w:rStyle w:val="11"/>
        <w:sz w:val="28"/>
      </w:rPr>
      <w:fldChar w:fldCharType="end"/>
    </w:r>
    <w:r>
      <w:rPr>
        <w:rStyle w:val="11"/>
        <w:rFonts w:hint="eastAsia"/>
      </w:rPr>
      <w:t xml:space="preserve"> </w:t>
    </w:r>
    <w:r>
      <w:rPr>
        <w:rStyle w:val="11"/>
        <w:rFonts w:hint="eastAsia"/>
        <w:sz w:val="28"/>
      </w:rPr>
      <w:t>—</w:t>
    </w:r>
  </w:p>
  <w:p w14:paraId="7BBD89B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5ZWM4Zjk2YWY4Y2E2MGUwMDA1NTcwMWFkZjY0ZWIifQ=="/>
  </w:docVars>
  <w:rsids>
    <w:rsidRoot w:val="006100B1"/>
    <w:rsid w:val="000070F9"/>
    <w:rsid w:val="00007A70"/>
    <w:rsid w:val="00012B41"/>
    <w:rsid w:val="00014584"/>
    <w:rsid w:val="00020E65"/>
    <w:rsid w:val="00035D44"/>
    <w:rsid w:val="0004340F"/>
    <w:rsid w:val="00043704"/>
    <w:rsid w:val="00045516"/>
    <w:rsid w:val="00045828"/>
    <w:rsid w:val="00057FC5"/>
    <w:rsid w:val="00074CED"/>
    <w:rsid w:val="00075EFE"/>
    <w:rsid w:val="0008032B"/>
    <w:rsid w:val="00081036"/>
    <w:rsid w:val="00082E5E"/>
    <w:rsid w:val="00091F9F"/>
    <w:rsid w:val="0009609F"/>
    <w:rsid w:val="000A37B0"/>
    <w:rsid w:val="000A50F6"/>
    <w:rsid w:val="000B0A2F"/>
    <w:rsid w:val="000B5716"/>
    <w:rsid w:val="000B5B09"/>
    <w:rsid w:val="000C0235"/>
    <w:rsid w:val="000D3052"/>
    <w:rsid w:val="000D4BE2"/>
    <w:rsid w:val="000E0972"/>
    <w:rsid w:val="000E2C69"/>
    <w:rsid w:val="000E3754"/>
    <w:rsid w:val="000F7FC7"/>
    <w:rsid w:val="00110849"/>
    <w:rsid w:val="001211D1"/>
    <w:rsid w:val="00121D95"/>
    <w:rsid w:val="001371AC"/>
    <w:rsid w:val="0014090F"/>
    <w:rsid w:val="00140E01"/>
    <w:rsid w:val="00142107"/>
    <w:rsid w:val="00160954"/>
    <w:rsid w:val="00161E29"/>
    <w:rsid w:val="00172B3B"/>
    <w:rsid w:val="00184E0A"/>
    <w:rsid w:val="00185DCD"/>
    <w:rsid w:val="001970B2"/>
    <w:rsid w:val="001A707E"/>
    <w:rsid w:val="001B43D3"/>
    <w:rsid w:val="001E50F5"/>
    <w:rsid w:val="001E538A"/>
    <w:rsid w:val="001E5410"/>
    <w:rsid w:val="001E6425"/>
    <w:rsid w:val="001F2DD9"/>
    <w:rsid w:val="001F6DDA"/>
    <w:rsid w:val="001F7E89"/>
    <w:rsid w:val="00206FB3"/>
    <w:rsid w:val="00212055"/>
    <w:rsid w:val="0021336D"/>
    <w:rsid w:val="002141D6"/>
    <w:rsid w:val="002366F0"/>
    <w:rsid w:val="00236F19"/>
    <w:rsid w:val="00253309"/>
    <w:rsid w:val="00253385"/>
    <w:rsid w:val="00260E58"/>
    <w:rsid w:val="00277664"/>
    <w:rsid w:val="002A02A8"/>
    <w:rsid w:val="002C5A87"/>
    <w:rsid w:val="002C61DB"/>
    <w:rsid w:val="002C6749"/>
    <w:rsid w:val="002C74E6"/>
    <w:rsid w:val="002E0F21"/>
    <w:rsid w:val="002E4041"/>
    <w:rsid w:val="002F59FA"/>
    <w:rsid w:val="003014E3"/>
    <w:rsid w:val="00303ACB"/>
    <w:rsid w:val="00312DAE"/>
    <w:rsid w:val="003142F6"/>
    <w:rsid w:val="00316701"/>
    <w:rsid w:val="0032056A"/>
    <w:rsid w:val="00321C7A"/>
    <w:rsid w:val="00326559"/>
    <w:rsid w:val="00335B5C"/>
    <w:rsid w:val="0034121D"/>
    <w:rsid w:val="003440E0"/>
    <w:rsid w:val="00344CFF"/>
    <w:rsid w:val="0034686A"/>
    <w:rsid w:val="003479EF"/>
    <w:rsid w:val="00352DF2"/>
    <w:rsid w:val="0035540B"/>
    <w:rsid w:val="00363ADE"/>
    <w:rsid w:val="00370F44"/>
    <w:rsid w:val="0038473C"/>
    <w:rsid w:val="0039487E"/>
    <w:rsid w:val="003A7771"/>
    <w:rsid w:val="003A7FE6"/>
    <w:rsid w:val="003B5E4C"/>
    <w:rsid w:val="003D6BB6"/>
    <w:rsid w:val="003E106E"/>
    <w:rsid w:val="003E1827"/>
    <w:rsid w:val="003F6913"/>
    <w:rsid w:val="0040052D"/>
    <w:rsid w:val="00406F37"/>
    <w:rsid w:val="00407FEB"/>
    <w:rsid w:val="004213A6"/>
    <w:rsid w:val="00423250"/>
    <w:rsid w:val="00424088"/>
    <w:rsid w:val="004323A7"/>
    <w:rsid w:val="004353DA"/>
    <w:rsid w:val="00436216"/>
    <w:rsid w:val="00437403"/>
    <w:rsid w:val="00450609"/>
    <w:rsid w:val="004563FA"/>
    <w:rsid w:val="00456D52"/>
    <w:rsid w:val="004575A2"/>
    <w:rsid w:val="00460DAE"/>
    <w:rsid w:val="00462CE8"/>
    <w:rsid w:val="00475B7E"/>
    <w:rsid w:val="00476195"/>
    <w:rsid w:val="004775D0"/>
    <w:rsid w:val="00481FB9"/>
    <w:rsid w:val="0048664F"/>
    <w:rsid w:val="00493889"/>
    <w:rsid w:val="00494C90"/>
    <w:rsid w:val="004A565E"/>
    <w:rsid w:val="004A7F18"/>
    <w:rsid w:val="004A7FB3"/>
    <w:rsid w:val="004B7B78"/>
    <w:rsid w:val="004E5869"/>
    <w:rsid w:val="004E5C16"/>
    <w:rsid w:val="004F5159"/>
    <w:rsid w:val="004F7CBB"/>
    <w:rsid w:val="00500125"/>
    <w:rsid w:val="00506A2F"/>
    <w:rsid w:val="00515A30"/>
    <w:rsid w:val="005176F9"/>
    <w:rsid w:val="00526019"/>
    <w:rsid w:val="00527603"/>
    <w:rsid w:val="005277FD"/>
    <w:rsid w:val="00551BA0"/>
    <w:rsid w:val="00556C82"/>
    <w:rsid w:val="00561CEC"/>
    <w:rsid w:val="00567059"/>
    <w:rsid w:val="005745FF"/>
    <w:rsid w:val="00577E07"/>
    <w:rsid w:val="00590CBA"/>
    <w:rsid w:val="00596CA8"/>
    <w:rsid w:val="005A2DF7"/>
    <w:rsid w:val="005B1DEC"/>
    <w:rsid w:val="005B4404"/>
    <w:rsid w:val="005C3FC9"/>
    <w:rsid w:val="005E1CEF"/>
    <w:rsid w:val="005E6E25"/>
    <w:rsid w:val="005F7D5B"/>
    <w:rsid w:val="00603721"/>
    <w:rsid w:val="0060447F"/>
    <w:rsid w:val="006100B1"/>
    <w:rsid w:val="00621D05"/>
    <w:rsid w:val="006227E6"/>
    <w:rsid w:val="00641E1E"/>
    <w:rsid w:val="00655FA2"/>
    <w:rsid w:val="00664B5C"/>
    <w:rsid w:val="006671FB"/>
    <w:rsid w:val="00674995"/>
    <w:rsid w:val="0068287B"/>
    <w:rsid w:val="00694C6D"/>
    <w:rsid w:val="00696867"/>
    <w:rsid w:val="006A277D"/>
    <w:rsid w:val="006A6784"/>
    <w:rsid w:val="006C1199"/>
    <w:rsid w:val="006C22FA"/>
    <w:rsid w:val="006C2737"/>
    <w:rsid w:val="006C28E8"/>
    <w:rsid w:val="006C3DB1"/>
    <w:rsid w:val="006C4663"/>
    <w:rsid w:val="006C76C3"/>
    <w:rsid w:val="006D1186"/>
    <w:rsid w:val="006D53F9"/>
    <w:rsid w:val="006D5EC5"/>
    <w:rsid w:val="006D66E1"/>
    <w:rsid w:val="006E2882"/>
    <w:rsid w:val="006E3A5B"/>
    <w:rsid w:val="006E4619"/>
    <w:rsid w:val="006F0E9C"/>
    <w:rsid w:val="007120A6"/>
    <w:rsid w:val="00716605"/>
    <w:rsid w:val="00721DC3"/>
    <w:rsid w:val="00722334"/>
    <w:rsid w:val="0072433F"/>
    <w:rsid w:val="007253EF"/>
    <w:rsid w:val="0074620F"/>
    <w:rsid w:val="007540AC"/>
    <w:rsid w:val="00761C37"/>
    <w:rsid w:val="00773FB8"/>
    <w:rsid w:val="00775740"/>
    <w:rsid w:val="00780451"/>
    <w:rsid w:val="00790456"/>
    <w:rsid w:val="007915FF"/>
    <w:rsid w:val="007933E4"/>
    <w:rsid w:val="007A4D04"/>
    <w:rsid w:val="007A4D1C"/>
    <w:rsid w:val="007D42BD"/>
    <w:rsid w:val="007D597A"/>
    <w:rsid w:val="007D7825"/>
    <w:rsid w:val="007E3219"/>
    <w:rsid w:val="007E5A90"/>
    <w:rsid w:val="007F2384"/>
    <w:rsid w:val="00814715"/>
    <w:rsid w:val="008147FD"/>
    <w:rsid w:val="00816A73"/>
    <w:rsid w:val="00821E80"/>
    <w:rsid w:val="00822939"/>
    <w:rsid w:val="00840F69"/>
    <w:rsid w:val="00851D18"/>
    <w:rsid w:val="00856FE6"/>
    <w:rsid w:val="00896F08"/>
    <w:rsid w:val="008A5442"/>
    <w:rsid w:val="008A65D1"/>
    <w:rsid w:val="008B0285"/>
    <w:rsid w:val="008C3BCD"/>
    <w:rsid w:val="008D121D"/>
    <w:rsid w:val="008D1B36"/>
    <w:rsid w:val="008D30E1"/>
    <w:rsid w:val="008F6C68"/>
    <w:rsid w:val="009068D9"/>
    <w:rsid w:val="00911386"/>
    <w:rsid w:val="00916032"/>
    <w:rsid w:val="009269D3"/>
    <w:rsid w:val="00927216"/>
    <w:rsid w:val="009535DC"/>
    <w:rsid w:val="009672E6"/>
    <w:rsid w:val="009744EF"/>
    <w:rsid w:val="00986A74"/>
    <w:rsid w:val="0098784B"/>
    <w:rsid w:val="009910C0"/>
    <w:rsid w:val="0099122D"/>
    <w:rsid w:val="00992042"/>
    <w:rsid w:val="0099370F"/>
    <w:rsid w:val="009A71C6"/>
    <w:rsid w:val="009B7C76"/>
    <w:rsid w:val="009C112C"/>
    <w:rsid w:val="009C5FCE"/>
    <w:rsid w:val="009D0C30"/>
    <w:rsid w:val="009D45E8"/>
    <w:rsid w:val="009D5803"/>
    <w:rsid w:val="009D6520"/>
    <w:rsid w:val="009E6885"/>
    <w:rsid w:val="009E74D4"/>
    <w:rsid w:val="009E756A"/>
    <w:rsid w:val="009F2CA6"/>
    <w:rsid w:val="00A054F2"/>
    <w:rsid w:val="00A1776F"/>
    <w:rsid w:val="00A22502"/>
    <w:rsid w:val="00A3665A"/>
    <w:rsid w:val="00A36F07"/>
    <w:rsid w:val="00A3749C"/>
    <w:rsid w:val="00A40394"/>
    <w:rsid w:val="00A44613"/>
    <w:rsid w:val="00A5219D"/>
    <w:rsid w:val="00A54948"/>
    <w:rsid w:val="00A55B08"/>
    <w:rsid w:val="00A65003"/>
    <w:rsid w:val="00A652A8"/>
    <w:rsid w:val="00A731C6"/>
    <w:rsid w:val="00A945C6"/>
    <w:rsid w:val="00AA5C43"/>
    <w:rsid w:val="00AB4F74"/>
    <w:rsid w:val="00AC441D"/>
    <w:rsid w:val="00AD34D6"/>
    <w:rsid w:val="00B0135A"/>
    <w:rsid w:val="00B10EA7"/>
    <w:rsid w:val="00B232E5"/>
    <w:rsid w:val="00B256A5"/>
    <w:rsid w:val="00B3104F"/>
    <w:rsid w:val="00B46A13"/>
    <w:rsid w:val="00B50F76"/>
    <w:rsid w:val="00B52788"/>
    <w:rsid w:val="00B721FB"/>
    <w:rsid w:val="00B776B0"/>
    <w:rsid w:val="00B93D58"/>
    <w:rsid w:val="00BA03F0"/>
    <w:rsid w:val="00BA11B3"/>
    <w:rsid w:val="00BA5C71"/>
    <w:rsid w:val="00BB3368"/>
    <w:rsid w:val="00BB7952"/>
    <w:rsid w:val="00BC14CB"/>
    <w:rsid w:val="00BC461F"/>
    <w:rsid w:val="00BC6913"/>
    <w:rsid w:val="00BD2600"/>
    <w:rsid w:val="00BD4428"/>
    <w:rsid w:val="00BE0D64"/>
    <w:rsid w:val="00BE1301"/>
    <w:rsid w:val="00BE6319"/>
    <w:rsid w:val="00BE6CE1"/>
    <w:rsid w:val="00C13021"/>
    <w:rsid w:val="00C154F6"/>
    <w:rsid w:val="00C16012"/>
    <w:rsid w:val="00C2339E"/>
    <w:rsid w:val="00C26B9A"/>
    <w:rsid w:val="00C47482"/>
    <w:rsid w:val="00C5443E"/>
    <w:rsid w:val="00C565B7"/>
    <w:rsid w:val="00C62F70"/>
    <w:rsid w:val="00C867A3"/>
    <w:rsid w:val="00C9408A"/>
    <w:rsid w:val="00CA203C"/>
    <w:rsid w:val="00CA2B80"/>
    <w:rsid w:val="00CA3752"/>
    <w:rsid w:val="00CA7C78"/>
    <w:rsid w:val="00CA7D1B"/>
    <w:rsid w:val="00CB14D1"/>
    <w:rsid w:val="00CB5E50"/>
    <w:rsid w:val="00CC3C07"/>
    <w:rsid w:val="00CD0F54"/>
    <w:rsid w:val="00CE4918"/>
    <w:rsid w:val="00CF27F6"/>
    <w:rsid w:val="00CF3AA6"/>
    <w:rsid w:val="00D05358"/>
    <w:rsid w:val="00D060D7"/>
    <w:rsid w:val="00D20A11"/>
    <w:rsid w:val="00D47DB7"/>
    <w:rsid w:val="00D642FB"/>
    <w:rsid w:val="00D653A3"/>
    <w:rsid w:val="00D6631D"/>
    <w:rsid w:val="00D671C7"/>
    <w:rsid w:val="00D7200E"/>
    <w:rsid w:val="00D766DB"/>
    <w:rsid w:val="00D80380"/>
    <w:rsid w:val="00D81861"/>
    <w:rsid w:val="00D856F2"/>
    <w:rsid w:val="00D90470"/>
    <w:rsid w:val="00D93692"/>
    <w:rsid w:val="00D94730"/>
    <w:rsid w:val="00D96EB1"/>
    <w:rsid w:val="00D97151"/>
    <w:rsid w:val="00D974CB"/>
    <w:rsid w:val="00DA0DE4"/>
    <w:rsid w:val="00DA1980"/>
    <w:rsid w:val="00DE2583"/>
    <w:rsid w:val="00DE2FED"/>
    <w:rsid w:val="00DE321E"/>
    <w:rsid w:val="00DE5ADE"/>
    <w:rsid w:val="00E1310F"/>
    <w:rsid w:val="00E20D2D"/>
    <w:rsid w:val="00E353C8"/>
    <w:rsid w:val="00E372A0"/>
    <w:rsid w:val="00E45BD4"/>
    <w:rsid w:val="00E65666"/>
    <w:rsid w:val="00E813AA"/>
    <w:rsid w:val="00E831C2"/>
    <w:rsid w:val="00E91CEA"/>
    <w:rsid w:val="00E91DCC"/>
    <w:rsid w:val="00E945E3"/>
    <w:rsid w:val="00E967EB"/>
    <w:rsid w:val="00E97635"/>
    <w:rsid w:val="00EA395F"/>
    <w:rsid w:val="00EA3D7D"/>
    <w:rsid w:val="00EA74A7"/>
    <w:rsid w:val="00EB30B5"/>
    <w:rsid w:val="00EB3856"/>
    <w:rsid w:val="00EB7C92"/>
    <w:rsid w:val="00EC2688"/>
    <w:rsid w:val="00ED2C0E"/>
    <w:rsid w:val="00ED5746"/>
    <w:rsid w:val="00ED5984"/>
    <w:rsid w:val="00EF1D69"/>
    <w:rsid w:val="00EF24F1"/>
    <w:rsid w:val="00EF542F"/>
    <w:rsid w:val="00EF79CE"/>
    <w:rsid w:val="00F010BB"/>
    <w:rsid w:val="00F112D1"/>
    <w:rsid w:val="00F312B8"/>
    <w:rsid w:val="00F32310"/>
    <w:rsid w:val="00F418B2"/>
    <w:rsid w:val="00F50AB5"/>
    <w:rsid w:val="00F51D66"/>
    <w:rsid w:val="00F52493"/>
    <w:rsid w:val="00F53B22"/>
    <w:rsid w:val="00F66ED3"/>
    <w:rsid w:val="00F753FE"/>
    <w:rsid w:val="00F81800"/>
    <w:rsid w:val="00F84FD5"/>
    <w:rsid w:val="00F85E93"/>
    <w:rsid w:val="00FA2890"/>
    <w:rsid w:val="00FA6662"/>
    <w:rsid w:val="00FA74EB"/>
    <w:rsid w:val="00FB0AEE"/>
    <w:rsid w:val="00FB1FC6"/>
    <w:rsid w:val="00FB4C24"/>
    <w:rsid w:val="00FC40F1"/>
    <w:rsid w:val="00FD5B6A"/>
    <w:rsid w:val="00FE27A1"/>
    <w:rsid w:val="00FF3977"/>
    <w:rsid w:val="00FF47BD"/>
    <w:rsid w:val="02460027"/>
    <w:rsid w:val="046E793F"/>
    <w:rsid w:val="08FB3BBD"/>
    <w:rsid w:val="0C82575C"/>
    <w:rsid w:val="12117A64"/>
    <w:rsid w:val="17CF7A74"/>
    <w:rsid w:val="19387D25"/>
    <w:rsid w:val="1A0661BD"/>
    <w:rsid w:val="2A710FC0"/>
    <w:rsid w:val="2E9229F1"/>
    <w:rsid w:val="31362228"/>
    <w:rsid w:val="31DC174D"/>
    <w:rsid w:val="34497775"/>
    <w:rsid w:val="395F1AB5"/>
    <w:rsid w:val="3B8907CC"/>
    <w:rsid w:val="413F1596"/>
    <w:rsid w:val="41B06341"/>
    <w:rsid w:val="421D2E5F"/>
    <w:rsid w:val="425D0157"/>
    <w:rsid w:val="46BD6DFD"/>
    <w:rsid w:val="49FC7FB5"/>
    <w:rsid w:val="4A8E7950"/>
    <w:rsid w:val="52454BAF"/>
    <w:rsid w:val="52BA1CE1"/>
    <w:rsid w:val="54D5080D"/>
    <w:rsid w:val="57A808A5"/>
    <w:rsid w:val="5CED4F23"/>
    <w:rsid w:val="5D3F4581"/>
    <w:rsid w:val="5D6977B6"/>
    <w:rsid w:val="5F6900CA"/>
    <w:rsid w:val="63B440A8"/>
    <w:rsid w:val="700B1755"/>
    <w:rsid w:val="772D4028"/>
    <w:rsid w:val="7F6142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ind w:firstLine="200"/>
      <w:jc w:val="both"/>
    </w:pPr>
    <w:rPr>
      <w:rFonts w:ascii="宋体" w:hAnsi="Calibri" w:eastAsia="宋体" w:cs="宋体"/>
      <w:sz w:val="21"/>
      <w:szCs w:val="21"/>
      <w:lang w:val="en-US" w:eastAsia="zh-CN" w:bidi="ar-SA"/>
    </w:rPr>
  </w:style>
  <w:style w:type="paragraph" w:styleId="3">
    <w:name w:val="Date"/>
    <w:basedOn w:val="1"/>
    <w:next w:val="1"/>
    <w:link w:val="18"/>
    <w:autoRedefine/>
    <w:semiHidden/>
    <w:unhideWhenUsed/>
    <w:qFormat/>
    <w:uiPriority w:val="99"/>
    <w:pPr>
      <w:ind w:left="100" w:leftChars="2500"/>
    </w:pPr>
  </w:style>
  <w:style w:type="paragraph" w:styleId="4">
    <w:name w:val="Balloon Text"/>
    <w:basedOn w:val="1"/>
    <w:link w:val="16"/>
    <w:autoRedefine/>
    <w:semiHidden/>
    <w:unhideWhenUsed/>
    <w:qFormat/>
    <w:uiPriority w:val="99"/>
    <w:rPr>
      <w:sz w:val="18"/>
      <w:szCs w:val="18"/>
    </w:rPr>
  </w:style>
  <w:style w:type="paragraph" w:styleId="5">
    <w:name w:val="footer"/>
    <w:basedOn w:val="1"/>
    <w:link w:val="14"/>
    <w:autoRedefine/>
    <w:unhideWhenUsed/>
    <w:qFormat/>
    <w:uiPriority w:val="0"/>
    <w:pPr>
      <w:tabs>
        <w:tab w:val="center" w:pos="4153"/>
        <w:tab w:val="right" w:pos="8306"/>
      </w:tabs>
      <w:snapToGrid w:val="0"/>
      <w:jc w:val="left"/>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99"/>
    <w:pPr>
      <w:spacing w:before="100" w:beforeAutospacing="1" w:after="100" w:afterAutospacing="1"/>
      <w:jc w:val="left"/>
    </w:pPr>
    <w:rPr>
      <w:rFonts w:ascii="Calibri" w:hAnsi="Calibri" w:eastAsia="宋体"/>
      <w:kern w:val="0"/>
      <w:sz w:val="24"/>
    </w:rPr>
  </w:style>
  <w:style w:type="table" w:styleId="9">
    <w:name w:val="Table Grid"/>
    <w:basedOn w:val="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autoRedefine/>
    <w:qFormat/>
    <w:uiPriority w:val="0"/>
  </w:style>
  <w:style w:type="character" w:styleId="12">
    <w:name w:val="Hyperlink"/>
    <w:basedOn w:val="10"/>
    <w:autoRedefine/>
    <w:unhideWhenUsed/>
    <w:qFormat/>
    <w:uiPriority w:val="99"/>
    <w:rPr>
      <w:color w:val="0000FF" w:themeColor="hyperlink"/>
      <w:u w:val="single"/>
      <w14:textFill>
        <w14:solidFill>
          <w14:schemeClr w14:val="hlink"/>
        </w14:solidFill>
      </w14:textFill>
    </w:rPr>
  </w:style>
  <w:style w:type="paragraph" w:customStyle="1" w:styleId="13">
    <w:name w:val="主题词"/>
    <w:basedOn w:val="1"/>
    <w:autoRedefine/>
    <w:qFormat/>
    <w:uiPriority w:val="99"/>
    <w:pPr>
      <w:autoSpaceDE w:val="0"/>
      <w:autoSpaceDN w:val="0"/>
      <w:adjustRightInd w:val="0"/>
      <w:spacing w:line="240" w:lineRule="atLeast"/>
      <w:jc w:val="left"/>
    </w:pPr>
    <w:rPr>
      <w:rFonts w:ascii="宋体" w:cs="宋体"/>
      <w:b/>
      <w:bCs/>
      <w:kern w:val="0"/>
      <w:szCs w:val="32"/>
    </w:rPr>
  </w:style>
  <w:style w:type="character" w:customStyle="1" w:styleId="14">
    <w:name w:val="页脚 Char"/>
    <w:basedOn w:val="10"/>
    <w:link w:val="5"/>
    <w:autoRedefine/>
    <w:qFormat/>
    <w:uiPriority w:val="0"/>
    <w:rPr>
      <w:rFonts w:ascii="Times New Roman" w:hAnsi="Times New Roman" w:eastAsia="仿宋_GB2312" w:cs="Times New Roman"/>
      <w:sz w:val="18"/>
      <w:szCs w:val="18"/>
    </w:rPr>
  </w:style>
  <w:style w:type="character" w:customStyle="1" w:styleId="15">
    <w:name w:val="页眉 Char"/>
    <w:basedOn w:val="10"/>
    <w:link w:val="6"/>
    <w:autoRedefine/>
    <w:qFormat/>
    <w:uiPriority w:val="99"/>
    <w:rPr>
      <w:rFonts w:ascii="Times New Roman" w:hAnsi="Times New Roman" w:eastAsia="仿宋_GB2312" w:cs="Times New Roman"/>
      <w:sz w:val="18"/>
      <w:szCs w:val="18"/>
    </w:rPr>
  </w:style>
  <w:style w:type="character" w:customStyle="1" w:styleId="16">
    <w:name w:val="批注框文本 Char"/>
    <w:basedOn w:val="10"/>
    <w:link w:val="4"/>
    <w:autoRedefine/>
    <w:semiHidden/>
    <w:qFormat/>
    <w:uiPriority w:val="99"/>
    <w:rPr>
      <w:rFonts w:ascii="Times New Roman" w:hAnsi="Times New Roman" w:eastAsia="仿宋_GB2312" w:cs="Times New Roman"/>
      <w:sz w:val="18"/>
      <w:szCs w:val="18"/>
    </w:rPr>
  </w:style>
  <w:style w:type="paragraph" w:styleId="17">
    <w:name w:val="List Paragraph"/>
    <w:basedOn w:val="1"/>
    <w:autoRedefine/>
    <w:qFormat/>
    <w:uiPriority w:val="34"/>
    <w:pPr>
      <w:ind w:firstLine="420" w:firstLineChars="200"/>
    </w:pPr>
    <w:rPr>
      <w:rFonts w:asciiTheme="minorHAnsi" w:hAnsiTheme="minorHAnsi" w:eastAsiaTheme="minorEastAsia" w:cstheme="minorBidi"/>
      <w:sz w:val="21"/>
      <w:szCs w:val="22"/>
    </w:rPr>
  </w:style>
  <w:style w:type="character" w:customStyle="1" w:styleId="18">
    <w:name w:val="日期 Char"/>
    <w:basedOn w:val="10"/>
    <w:link w:val="3"/>
    <w:autoRedefine/>
    <w:semiHidden/>
    <w:qFormat/>
    <w:uiPriority w:val="99"/>
    <w:rPr>
      <w:rFonts w:ascii="Times New Roman" w:hAnsi="Times New Roman" w:eastAsia="仿宋_GB2312" w:cs="Times New Roman"/>
      <w:sz w:val="32"/>
      <w:szCs w:val="24"/>
    </w:rPr>
  </w:style>
  <w:style w:type="character" w:customStyle="1" w:styleId="19">
    <w:name w:val="fontstyle01"/>
    <w:basedOn w:val="10"/>
    <w:autoRedefine/>
    <w:qFormat/>
    <w:uiPriority w:val="0"/>
    <w:rPr>
      <w:rFonts w:hint="default" w:ascii="仿宋" w:hAnsi="仿宋"/>
      <w:color w:val="000000"/>
      <w:sz w:val="32"/>
      <w:szCs w:val="32"/>
    </w:rPr>
  </w:style>
  <w:style w:type="character" w:customStyle="1" w:styleId="20">
    <w:name w:val="fontstyle11"/>
    <w:basedOn w:val="10"/>
    <w:autoRedefine/>
    <w:qFormat/>
    <w:uiPriority w:val="0"/>
    <w:rPr>
      <w:rFonts w:hint="eastAsia" w:ascii="仿宋_GB2312" w:eastAsia="仿宋_GB2312"/>
      <w:color w:val="000000"/>
      <w:sz w:val="32"/>
      <w:szCs w:val="32"/>
    </w:rPr>
  </w:style>
  <w:style w:type="character" w:customStyle="1" w:styleId="21">
    <w:name w:val="fontstyle21"/>
    <w:basedOn w:val="10"/>
    <w:autoRedefine/>
    <w:qFormat/>
    <w:uiPriority w:val="0"/>
    <w:rPr>
      <w:rFonts w:hint="default" w:ascii="TimesNewRomanPSMT" w:hAnsi="TimesNewRomanPSMT"/>
      <w:color w:val="000000"/>
      <w:sz w:val="32"/>
      <w:szCs w:val="32"/>
    </w:rPr>
  </w:style>
  <w:style w:type="character" w:customStyle="1" w:styleId="22">
    <w:name w:val="fontstyle31"/>
    <w:basedOn w:val="10"/>
    <w:autoRedefine/>
    <w:qFormat/>
    <w:uiPriority w:val="0"/>
    <w:rPr>
      <w:rFonts w:hint="eastAsia" w:ascii="宋体" w:hAnsi="宋体" w:eastAsia="宋体"/>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4BF1E-3F06-4C75-B4D5-54B3A35F173E}">
  <ds:schemaRefs/>
</ds:datastoreItem>
</file>

<file path=docProps/app.xml><?xml version="1.0" encoding="utf-8"?>
<Properties xmlns="http://schemas.openxmlformats.org/officeDocument/2006/extended-properties" xmlns:vt="http://schemas.openxmlformats.org/officeDocument/2006/docPropsVTypes">
  <Template>Normal</Template>
  <Company>幸福的家</Company>
  <Pages>2</Pages>
  <Words>542</Words>
  <Characters>601</Characters>
  <Lines>11</Lines>
  <Paragraphs>3</Paragraphs>
  <TotalTime>90</TotalTime>
  <ScaleCrop>false</ScaleCrop>
  <LinksUpToDate>false</LinksUpToDate>
  <CharactersWithSpaces>680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2020-04-10T07:58:00Z</dcterms:created>
  <dc:creator>NTKO</dc:creator>
  <cp:lastModifiedBy>别来无恙</cp:lastModifiedBy>
  <cp:lastPrinted>2026-05-11T02:05:00Z</cp:lastPrinted>
  <dcterms:modified xsi:type="dcterms:W3CDTF">2026-05-18T06:39:12Z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F3939BAC7EA8476BA22EF9FEF319B7B3_13</vt:lpwstr>
  </property>
  <property fmtid="{D5CDD505-2E9C-101B-9397-08002B2CF9AE}" pid="4" name="KSOTemplateDocerSaveRecord">
    <vt:lpwstr>eyJoZGlkIjoiYmI1ZTQzZjNjMTQ2NjNlYTE2NGIyZjdlNGU1OTJiZTEiLCJ1c2VySWQiOiI3MTMzNDMwOTUifQ==</vt:lpwstr>
  </property>
</Properties>
</file>